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DF32" w14:textId="77777777" w:rsidR="00C067CC" w:rsidRPr="00C067CC" w:rsidRDefault="00C067CC" w:rsidP="00C067CC">
      <w:r w:rsidRPr="00C067CC">
        <w:t>The Annual Parish Meeting of South Littleton was held at 6:45pm on Thursday 15 May 2025 in the Scout Hut, with a good turnout from local organisations.</w:t>
      </w:r>
    </w:p>
    <w:p w14:paraId="285A51DD" w14:textId="77777777" w:rsidR="00C067CC" w:rsidRPr="00C067CC" w:rsidRDefault="00C067CC" w:rsidP="00C067CC">
      <w:r w:rsidRPr="00C067CC">
        <w:t>SLPC Chair, Shannon Cawood delivered a report on the Parish Council’s work over the past year explaining how the council has focused on both the essential behind-the-scenes work and visible improvements across the village over the past 12 months. Community events had been well received, including six successful litter picks since May 2024, a popular summer BBQ and Band afternoon supported by local clubs, and the festive Christmas event which raised £129.50 for the Air Ambulance.</w:t>
      </w:r>
    </w:p>
    <w:p w14:paraId="2C0356D0" w14:textId="77777777" w:rsidR="00C067CC" w:rsidRPr="00C067CC" w:rsidRDefault="00C067CC" w:rsidP="00C067CC">
      <w:r w:rsidRPr="00C067CC">
        <w:t>Village enhancements have included bulb and tree planting, supported by residents, and a new cleaning schedule for bus stops. The council has worked to build stronger ties with HMP Long Lartin and held productive meetings with local haulage companies to address lorry traffic concerns. We also have continued regular engagement with West Mercia Police and the Safer Neighbourhood Team.</w:t>
      </w:r>
    </w:p>
    <w:p w14:paraId="17264700" w14:textId="77777777" w:rsidR="00C067CC" w:rsidRPr="00C067CC" w:rsidRDefault="00C067CC" w:rsidP="00C067CC">
      <w:r w:rsidRPr="00C067CC">
        <w:t>Three Vehicle Activated Signs have been installed to help combat speeding, and their positive impact is already being noted. The council is now at full membership, with Tim Ward and Trevor Beddowes joining during the year. A refreshed, more user-friendly website has also been launched where updates and important information will now be easier to access.</w:t>
      </w:r>
    </w:p>
    <w:p w14:paraId="327E91E2" w14:textId="77777777" w:rsidR="00C067CC" w:rsidRPr="00C067CC" w:rsidRDefault="00C067CC" w:rsidP="00C067CC">
      <w:r w:rsidRPr="00C067CC">
        <w:t>Looking ahead, the council has applied for a grant to support village enhancements and the remaining Legacy Grant funds have been earmarked for projects such as exercise equipment, art installations, history boards, and further planting in South Meadows.</w:t>
      </w:r>
    </w:p>
    <w:p w14:paraId="3CAF5E7F" w14:textId="77777777" w:rsidR="00C067CC" w:rsidRPr="00C067CC" w:rsidRDefault="00C067CC" w:rsidP="00C067CC">
      <w:r w:rsidRPr="00C067CC">
        <w:t>The Clerk reported income for 2024–25 as £61,757.19, with a carried forward balance of £29,972.27. Internal auditing was underway, and the external audit would follow a public consultation period in June. Parishioners were invited to inspect the accounts by appointment.</w:t>
      </w:r>
    </w:p>
    <w:p w14:paraId="2EC90E59" w14:textId="77777777" w:rsidR="00C067CC" w:rsidRPr="00C067CC" w:rsidRDefault="00C067CC" w:rsidP="00C067CC">
      <w:r w:rsidRPr="00C067CC">
        <w:t>Reports were also heard from several local groups.</w:t>
      </w:r>
    </w:p>
    <w:p w14:paraId="7238287F" w14:textId="77777777" w:rsidR="00C067CC" w:rsidRPr="00C067CC" w:rsidRDefault="00C067CC" w:rsidP="00C067CC">
      <w:r w:rsidRPr="00C067CC">
        <w:rPr>
          <w:b/>
          <w:bCs/>
        </w:rPr>
        <w:t>Local Group Updates:</w:t>
      </w:r>
    </w:p>
    <w:p w14:paraId="6F768ADE" w14:textId="77777777" w:rsidR="00C067CC" w:rsidRPr="00C067CC" w:rsidRDefault="00C067CC" w:rsidP="00C067CC">
      <w:pPr>
        <w:numPr>
          <w:ilvl w:val="0"/>
          <w:numId w:val="1"/>
        </w:numPr>
      </w:pPr>
      <w:r w:rsidRPr="00C067CC">
        <w:rPr>
          <w:b/>
          <w:bCs/>
        </w:rPr>
        <w:t>HMP Long Lartin</w:t>
      </w:r>
      <w:r w:rsidRPr="00C067CC">
        <w:t> provided a verbal update.</w:t>
      </w:r>
    </w:p>
    <w:p w14:paraId="31BA54DF" w14:textId="77777777" w:rsidR="00C067CC" w:rsidRPr="00C067CC" w:rsidRDefault="00C067CC" w:rsidP="00C067CC">
      <w:pPr>
        <w:numPr>
          <w:ilvl w:val="0"/>
          <w:numId w:val="1"/>
        </w:numPr>
      </w:pPr>
      <w:r w:rsidRPr="00C067CC">
        <w:rPr>
          <w:b/>
          <w:bCs/>
        </w:rPr>
        <w:t>Littletons Football Club</w:t>
      </w:r>
      <w:r w:rsidRPr="00C067CC">
        <w:t> (report by Mark Wilcox) shared their ongoing activity.</w:t>
      </w:r>
    </w:p>
    <w:p w14:paraId="5456A9FB" w14:textId="77777777" w:rsidR="00C067CC" w:rsidRPr="00C067CC" w:rsidRDefault="00C067CC" w:rsidP="00C067CC">
      <w:pPr>
        <w:numPr>
          <w:ilvl w:val="0"/>
          <w:numId w:val="1"/>
        </w:numPr>
      </w:pPr>
      <w:r w:rsidRPr="00C067CC">
        <w:rPr>
          <w:b/>
          <w:bCs/>
        </w:rPr>
        <w:t>Littletons Bowling Club</w:t>
      </w:r>
      <w:r w:rsidRPr="00C067CC">
        <w:t> (Alison Williams) reported strong membership and financial stability, with plans for facility improvements funded by potential Section 106 monies and a marketing push to increase community visibility.</w:t>
      </w:r>
    </w:p>
    <w:p w14:paraId="1BC3DA27" w14:textId="77777777" w:rsidR="00C067CC" w:rsidRPr="00C067CC" w:rsidRDefault="00C067CC" w:rsidP="00C067CC">
      <w:pPr>
        <w:numPr>
          <w:ilvl w:val="0"/>
          <w:numId w:val="1"/>
        </w:numPr>
      </w:pPr>
      <w:r w:rsidRPr="00C067CC">
        <w:rPr>
          <w:b/>
          <w:bCs/>
        </w:rPr>
        <w:t>Littletons Women’s Institute</w:t>
      </w:r>
      <w:r w:rsidRPr="00C067CC">
        <w:t> (Marguerite Kirby) reported a vibrant year with guest speakers, crafts, social groups and fundraising. October will mark the WI’s 75th anniversary, celebrated through a collaborative craft project.</w:t>
      </w:r>
    </w:p>
    <w:p w14:paraId="4394C716" w14:textId="77777777" w:rsidR="00C067CC" w:rsidRPr="00C067CC" w:rsidRDefault="00C067CC" w:rsidP="00C067CC">
      <w:pPr>
        <w:numPr>
          <w:ilvl w:val="0"/>
          <w:numId w:val="1"/>
        </w:numPr>
      </w:pPr>
      <w:r w:rsidRPr="00C067CC">
        <w:rPr>
          <w:b/>
          <w:bCs/>
        </w:rPr>
        <w:t>Littletons Tennis and Pickleball Club</w:t>
      </w:r>
      <w:r w:rsidRPr="00C067CC">
        <w:t> highlighted the success of its new Pickleball sessions, strong membership, social events, and long-term plans to resurface the courts and enhance their role as a community wellbeing hub.</w:t>
      </w:r>
    </w:p>
    <w:p w14:paraId="3DA66452" w14:textId="77777777" w:rsidR="00C067CC" w:rsidRPr="00C067CC" w:rsidRDefault="00C067CC" w:rsidP="00C067CC">
      <w:r w:rsidRPr="00C067CC">
        <w:rPr>
          <w:b/>
          <w:bCs/>
        </w:rPr>
        <w:t>District Councillor Update – Cllrs Judith Ciotti &amp; Hannah Robson</w:t>
      </w:r>
    </w:p>
    <w:p w14:paraId="336362A6" w14:textId="77777777" w:rsidR="00C067CC" w:rsidRPr="00C067CC" w:rsidRDefault="00C067CC" w:rsidP="00C067CC">
      <w:r w:rsidRPr="00C067CC">
        <w:t>The councillors thanked residents for their engagement and shared key updates from Wychavon District Council:</w:t>
      </w:r>
    </w:p>
    <w:p w14:paraId="06CC5160" w14:textId="77777777" w:rsidR="00C067CC" w:rsidRPr="00C067CC" w:rsidRDefault="00C067CC" w:rsidP="00C067CC">
      <w:pPr>
        <w:numPr>
          <w:ilvl w:val="0"/>
          <w:numId w:val="2"/>
        </w:numPr>
      </w:pPr>
      <w:r w:rsidRPr="00C067CC">
        <w:rPr>
          <w:b/>
          <w:bCs/>
        </w:rPr>
        <w:lastRenderedPageBreak/>
        <w:t>Carbon reduction efforts</w:t>
      </w:r>
      <w:r w:rsidRPr="00C067CC">
        <w:t>: Solar panels and low-carbon heating installed at leisure centres; 13,472 trees planted through the Trees Call to Action Project; Avon Meadows and Coney Meadows improved.</w:t>
      </w:r>
    </w:p>
    <w:p w14:paraId="675A85E5" w14:textId="77777777" w:rsidR="00C067CC" w:rsidRPr="00C067CC" w:rsidRDefault="00C067CC" w:rsidP="00C067CC">
      <w:pPr>
        <w:numPr>
          <w:ilvl w:val="0"/>
          <w:numId w:val="2"/>
        </w:numPr>
      </w:pPr>
      <w:r w:rsidRPr="00C067CC">
        <w:rPr>
          <w:b/>
          <w:bCs/>
        </w:rPr>
        <w:t>Sustainable travel</w:t>
      </w:r>
      <w:r w:rsidRPr="00C067CC">
        <w:t>: Local pilot study on public and community transport is under review. A comprehensive public transport hub is now live on the Wychavon website.</w:t>
      </w:r>
    </w:p>
    <w:p w14:paraId="16CFA0F9" w14:textId="77777777" w:rsidR="00C067CC" w:rsidRPr="00C067CC" w:rsidRDefault="00C067CC" w:rsidP="00C067CC">
      <w:pPr>
        <w:numPr>
          <w:ilvl w:val="0"/>
          <w:numId w:val="2"/>
        </w:numPr>
      </w:pPr>
      <w:r w:rsidRPr="00C067CC">
        <w:rPr>
          <w:b/>
          <w:bCs/>
        </w:rPr>
        <w:t>Local government reorganisation</w:t>
      </w:r>
      <w:r w:rsidRPr="00C067CC">
        <w:t>: A proposed move to a single or two-tier authority is under discussion, with changes expected by April 2028.</w:t>
      </w:r>
    </w:p>
    <w:p w14:paraId="365F30D2" w14:textId="77777777" w:rsidR="00C067CC" w:rsidRPr="00C067CC" w:rsidRDefault="00C067CC" w:rsidP="00C067CC">
      <w:pPr>
        <w:numPr>
          <w:ilvl w:val="0"/>
          <w:numId w:val="2"/>
        </w:numPr>
      </w:pPr>
      <w:r w:rsidRPr="00C067CC">
        <w:rPr>
          <w:b/>
          <w:bCs/>
        </w:rPr>
        <w:t>Planning challenges</w:t>
      </w:r>
      <w:r w:rsidRPr="00C067CC">
        <w:t xml:space="preserve">: National policy changes have affected Wychavon’s housing land supply calculations, leading to a rise in speculative applications. </w:t>
      </w:r>
      <w:proofErr w:type="spellStart"/>
      <w:r w:rsidRPr="00C067CC">
        <w:t>Shinehill</w:t>
      </w:r>
      <w:proofErr w:type="spellEnd"/>
      <w:r w:rsidRPr="00C067CC">
        <w:t xml:space="preserve"> Lane’s refused development is under appeal. Councillors stressed the importance of developing a neighbourhood plan to strengthen resistance to unwanted development.</w:t>
      </w:r>
    </w:p>
    <w:p w14:paraId="7CE0C340" w14:textId="77777777" w:rsidR="00C067CC" w:rsidRPr="00C067CC" w:rsidRDefault="00C067CC" w:rsidP="00C067CC">
      <w:pPr>
        <w:numPr>
          <w:ilvl w:val="0"/>
          <w:numId w:val="2"/>
        </w:numPr>
      </w:pPr>
      <w:r w:rsidRPr="00C067CC">
        <w:rPr>
          <w:b/>
          <w:bCs/>
        </w:rPr>
        <w:t>Ongoing casework</w:t>
      </w:r>
      <w:r w:rsidRPr="00C067CC">
        <w:t>: Includes housing support, bin issues, road safety, tree planting, and brook maintenance.</w:t>
      </w:r>
    </w:p>
    <w:p w14:paraId="55AF5BB8" w14:textId="77777777" w:rsidR="00C067CC" w:rsidRPr="00C067CC" w:rsidRDefault="00C067CC" w:rsidP="00C067CC">
      <w:pPr>
        <w:numPr>
          <w:ilvl w:val="0"/>
          <w:numId w:val="2"/>
        </w:numPr>
      </w:pPr>
      <w:r w:rsidRPr="00C067CC">
        <w:rPr>
          <w:b/>
          <w:bCs/>
        </w:rPr>
        <w:t>Recent Wychavon Council motions passed</w:t>
      </w:r>
      <w:r w:rsidRPr="00C067CC">
        <w:t>:</w:t>
      </w:r>
    </w:p>
    <w:p w14:paraId="435E8A38" w14:textId="77777777" w:rsidR="00C067CC" w:rsidRPr="00C067CC" w:rsidRDefault="00C067CC" w:rsidP="00C067CC">
      <w:pPr>
        <w:numPr>
          <w:ilvl w:val="1"/>
          <w:numId w:val="2"/>
        </w:numPr>
      </w:pPr>
      <w:r w:rsidRPr="00C067CC">
        <w:t>Funding for a Domestic Abuse Coordinator and support for the Dawn Project</w:t>
      </w:r>
    </w:p>
    <w:p w14:paraId="1CE96129" w14:textId="77777777" w:rsidR="00C067CC" w:rsidRPr="00C067CC" w:rsidRDefault="00C067CC" w:rsidP="00C067CC">
      <w:pPr>
        <w:numPr>
          <w:ilvl w:val="1"/>
          <w:numId w:val="2"/>
        </w:numPr>
      </w:pPr>
      <w:r w:rsidRPr="00C067CC">
        <w:t>Establishment of a banking hub in Droitwich</w:t>
      </w:r>
    </w:p>
    <w:p w14:paraId="40411B11" w14:textId="77777777" w:rsidR="00C067CC" w:rsidRPr="00C067CC" w:rsidRDefault="00C067CC" w:rsidP="00C067CC">
      <w:pPr>
        <w:numPr>
          <w:ilvl w:val="1"/>
          <w:numId w:val="2"/>
        </w:numPr>
      </w:pPr>
      <w:r w:rsidRPr="00C067CC">
        <w:t>Stronger lobbying for infrastructure in national planning</w:t>
      </w:r>
    </w:p>
    <w:p w14:paraId="1CB8255B" w14:textId="77777777" w:rsidR="00C067CC" w:rsidRPr="00C067CC" w:rsidRDefault="00C067CC" w:rsidP="00C067CC">
      <w:pPr>
        <w:numPr>
          <w:ilvl w:val="1"/>
          <w:numId w:val="2"/>
        </w:numPr>
      </w:pPr>
      <w:r w:rsidRPr="00C067CC">
        <w:t>Calls for flood resilience grant improvements</w:t>
      </w:r>
    </w:p>
    <w:p w14:paraId="5F7DE727" w14:textId="77777777" w:rsidR="00C067CC" w:rsidRPr="00C067CC" w:rsidRDefault="00C067CC" w:rsidP="00C067CC">
      <w:pPr>
        <w:numPr>
          <w:ilvl w:val="1"/>
          <w:numId w:val="2"/>
        </w:numPr>
      </w:pPr>
      <w:r w:rsidRPr="00C067CC">
        <w:t>Opposition to changes in Winter Fuel Payment eligibility and push for Pension Credit uptake</w:t>
      </w:r>
    </w:p>
    <w:p w14:paraId="7C19ADDD" w14:textId="77777777" w:rsidR="00C067CC" w:rsidRPr="00C067CC" w:rsidRDefault="00C067CC" w:rsidP="00C067CC">
      <w:pPr>
        <w:numPr>
          <w:ilvl w:val="1"/>
          <w:numId w:val="2"/>
        </w:numPr>
      </w:pPr>
      <w:r w:rsidRPr="00C067CC">
        <w:t>Support for flying the “Lest We Forget” flag</w:t>
      </w:r>
    </w:p>
    <w:p w14:paraId="002FEA4E" w14:textId="77777777" w:rsidR="00C067CC" w:rsidRPr="00C067CC" w:rsidRDefault="00C067CC" w:rsidP="00C067CC">
      <w:pPr>
        <w:numPr>
          <w:ilvl w:val="1"/>
          <w:numId w:val="2"/>
        </w:numPr>
      </w:pPr>
      <w:r w:rsidRPr="00C067CC">
        <w:t>Formal rejection of racism, antisemitism and Islamophobia</w:t>
      </w:r>
    </w:p>
    <w:p w14:paraId="493C5EEB" w14:textId="77777777" w:rsidR="00C067CC" w:rsidRPr="00C067CC" w:rsidRDefault="00C067CC" w:rsidP="00C067CC">
      <w:r w:rsidRPr="00C067CC">
        <w:rPr>
          <w:b/>
          <w:bCs/>
        </w:rPr>
        <w:t>Thank you to all volunteers and residents who have contributed to our community over the past year. Your support continues to make South Littleton a great place to live!</w:t>
      </w:r>
    </w:p>
    <w:p w14:paraId="706D11F9" w14:textId="77777777" w:rsidR="008C7CC0" w:rsidRPr="000A11E2" w:rsidRDefault="008C7CC0"/>
    <w:sectPr w:rsidR="008C7CC0" w:rsidRPr="000A11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C594E"/>
    <w:multiLevelType w:val="multilevel"/>
    <w:tmpl w:val="AB84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C3616D"/>
    <w:multiLevelType w:val="multilevel"/>
    <w:tmpl w:val="B566C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364891">
    <w:abstractNumId w:val="0"/>
  </w:num>
  <w:num w:numId="2" w16cid:durableId="165871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CC"/>
    <w:rsid w:val="000A11E2"/>
    <w:rsid w:val="0023080E"/>
    <w:rsid w:val="00451A6E"/>
    <w:rsid w:val="008B4CFC"/>
    <w:rsid w:val="008C7CC0"/>
    <w:rsid w:val="00BD0E8E"/>
    <w:rsid w:val="00C067CC"/>
    <w:rsid w:val="00C1186E"/>
    <w:rsid w:val="00C264D4"/>
    <w:rsid w:val="00FB3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931E"/>
  <w15:chartTrackingRefBased/>
  <w15:docId w15:val="{F52A8908-1055-49D9-A443-9C52EAFD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E8E"/>
  </w:style>
  <w:style w:type="paragraph" w:styleId="Heading1">
    <w:name w:val="heading 1"/>
    <w:basedOn w:val="Normal"/>
    <w:next w:val="Normal"/>
    <w:link w:val="Heading1Char"/>
    <w:uiPriority w:val="9"/>
    <w:qFormat/>
    <w:rsid w:val="00BD0E8E"/>
    <w:pPr>
      <w:keepNext/>
      <w:keepLines/>
      <w:spacing w:before="360" w:after="80"/>
      <w:outlineLvl w:val="0"/>
    </w:pPr>
    <w:rPr>
      <w:rFonts w:asciiTheme="majorHAnsi" w:eastAsiaTheme="majorEastAsia" w:hAnsiTheme="majorHAnsi" w:cstheme="majorBidi"/>
      <w:color w:val="1D2E49" w:themeColor="accent1" w:themeShade="BF"/>
      <w:sz w:val="40"/>
      <w:szCs w:val="40"/>
    </w:rPr>
  </w:style>
  <w:style w:type="paragraph" w:styleId="Heading2">
    <w:name w:val="heading 2"/>
    <w:basedOn w:val="Normal"/>
    <w:next w:val="Normal"/>
    <w:link w:val="Heading2Char"/>
    <w:uiPriority w:val="9"/>
    <w:semiHidden/>
    <w:unhideWhenUsed/>
    <w:qFormat/>
    <w:rsid w:val="00BD0E8E"/>
    <w:pPr>
      <w:keepNext/>
      <w:keepLines/>
      <w:spacing w:before="160" w:after="80"/>
      <w:outlineLvl w:val="1"/>
    </w:pPr>
    <w:rPr>
      <w:rFonts w:asciiTheme="majorHAnsi" w:eastAsiaTheme="majorEastAsia" w:hAnsiTheme="majorHAnsi" w:cstheme="majorBidi"/>
      <w:color w:val="1D2E49" w:themeColor="accent1" w:themeShade="BF"/>
      <w:sz w:val="32"/>
      <w:szCs w:val="32"/>
    </w:rPr>
  </w:style>
  <w:style w:type="paragraph" w:styleId="Heading3">
    <w:name w:val="heading 3"/>
    <w:basedOn w:val="Normal"/>
    <w:next w:val="Normal"/>
    <w:link w:val="Heading3Char"/>
    <w:uiPriority w:val="9"/>
    <w:semiHidden/>
    <w:unhideWhenUsed/>
    <w:qFormat/>
    <w:rsid w:val="00BD0E8E"/>
    <w:pPr>
      <w:keepNext/>
      <w:keepLines/>
      <w:spacing w:before="160" w:after="80"/>
      <w:outlineLvl w:val="2"/>
    </w:pPr>
    <w:rPr>
      <w:rFonts w:asciiTheme="minorHAnsi" w:eastAsiaTheme="majorEastAsia" w:hAnsiTheme="minorHAnsi" w:cstheme="majorBidi"/>
      <w:color w:val="1D2E49" w:themeColor="accent1" w:themeShade="BF"/>
      <w:sz w:val="28"/>
      <w:szCs w:val="28"/>
    </w:rPr>
  </w:style>
  <w:style w:type="paragraph" w:styleId="Heading4">
    <w:name w:val="heading 4"/>
    <w:basedOn w:val="Normal"/>
    <w:next w:val="Normal"/>
    <w:link w:val="Heading4Char"/>
    <w:uiPriority w:val="9"/>
    <w:semiHidden/>
    <w:unhideWhenUsed/>
    <w:qFormat/>
    <w:rsid w:val="00BD0E8E"/>
    <w:pPr>
      <w:keepNext/>
      <w:keepLines/>
      <w:spacing w:before="80" w:after="40"/>
      <w:outlineLvl w:val="3"/>
    </w:pPr>
    <w:rPr>
      <w:rFonts w:asciiTheme="minorHAnsi" w:eastAsiaTheme="majorEastAsia" w:hAnsiTheme="minorHAnsi" w:cstheme="majorBidi"/>
      <w:i/>
      <w:iCs/>
      <w:color w:val="1D2E49" w:themeColor="accent1" w:themeShade="BF"/>
    </w:rPr>
  </w:style>
  <w:style w:type="paragraph" w:styleId="Heading5">
    <w:name w:val="heading 5"/>
    <w:basedOn w:val="Normal"/>
    <w:next w:val="Normal"/>
    <w:link w:val="Heading5Char"/>
    <w:uiPriority w:val="9"/>
    <w:semiHidden/>
    <w:unhideWhenUsed/>
    <w:qFormat/>
    <w:rsid w:val="00BD0E8E"/>
    <w:pPr>
      <w:keepNext/>
      <w:keepLines/>
      <w:spacing w:before="80" w:after="40"/>
      <w:outlineLvl w:val="4"/>
    </w:pPr>
    <w:rPr>
      <w:rFonts w:asciiTheme="minorHAnsi" w:eastAsiaTheme="majorEastAsia" w:hAnsiTheme="minorHAnsi" w:cstheme="majorBidi"/>
      <w:color w:val="1D2E49" w:themeColor="accent1" w:themeShade="BF"/>
    </w:rPr>
  </w:style>
  <w:style w:type="paragraph" w:styleId="Heading6">
    <w:name w:val="heading 6"/>
    <w:basedOn w:val="Normal"/>
    <w:next w:val="Normal"/>
    <w:link w:val="Heading6Char"/>
    <w:uiPriority w:val="9"/>
    <w:semiHidden/>
    <w:unhideWhenUsed/>
    <w:qFormat/>
    <w:rsid w:val="00BD0E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0E8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0E8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0E8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E8E"/>
    <w:rPr>
      <w:rFonts w:asciiTheme="majorHAnsi" w:eastAsiaTheme="majorEastAsia" w:hAnsiTheme="majorHAnsi" w:cstheme="majorBidi"/>
      <w:color w:val="1D2E49" w:themeColor="accent1" w:themeShade="BF"/>
      <w:sz w:val="40"/>
      <w:szCs w:val="40"/>
    </w:rPr>
  </w:style>
  <w:style w:type="character" w:customStyle="1" w:styleId="Heading2Char">
    <w:name w:val="Heading 2 Char"/>
    <w:basedOn w:val="DefaultParagraphFont"/>
    <w:link w:val="Heading2"/>
    <w:uiPriority w:val="9"/>
    <w:semiHidden/>
    <w:rsid w:val="00BD0E8E"/>
    <w:rPr>
      <w:rFonts w:asciiTheme="majorHAnsi" w:eastAsiaTheme="majorEastAsia" w:hAnsiTheme="majorHAnsi" w:cstheme="majorBidi"/>
      <w:color w:val="1D2E49" w:themeColor="accent1" w:themeShade="BF"/>
      <w:sz w:val="32"/>
      <w:szCs w:val="32"/>
    </w:rPr>
  </w:style>
  <w:style w:type="character" w:customStyle="1" w:styleId="Heading3Char">
    <w:name w:val="Heading 3 Char"/>
    <w:basedOn w:val="DefaultParagraphFont"/>
    <w:link w:val="Heading3"/>
    <w:uiPriority w:val="9"/>
    <w:semiHidden/>
    <w:rsid w:val="00BD0E8E"/>
    <w:rPr>
      <w:rFonts w:asciiTheme="minorHAnsi" w:eastAsiaTheme="majorEastAsia" w:hAnsiTheme="minorHAnsi" w:cstheme="majorBidi"/>
      <w:color w:val="1D2E49" w:themeColor="accent1" w:themeShade="BF"/>
      <w:sz w:val="28"/>
      <w:szCs w:val="28"/>
    </w:rPr>
  </w:style>
  <w:style w:type="character" w:customStyle="1" w:styleId="Heading4Char">
    <w:name w:val="Heading 4 Char"/>
    <w:basedOn w:val="DefaultParagraphFont"/>
    <w:link w:val="Heading4"/>
    <w:uiPriority w:val="9"/>
    <w:semiHidden/>
    <w:rsid w:val="00BD0E8E"/>
    <w:rPr>
      <w:rFonts w:asciiTheme="minorHAnsi" w:eastAsiaTheme="majorEastAsia" w:hAnsiTheme="minorHAnsi" w:cstheme="majorBidi"/>
      <w:i/>
      <w:iCs/>
      <w:color w:val="1D2E49" w:themeColor="accent1" w:themeShade="BF"/>
    </w:rPr>
  </w:style>
  <w:style w:type="character" w:customStyle="1" w:styleId="Heading5Char">
    <w:name w:val="Heading 5 Char"/>
    <w:basedOn w:val="DefaultParagraphFont"/>
    <w:link w:val="Heading5"/>
    <w:uiPriority w:val="9"/>
    <w:semiHidden/>
    <w:rsid w:val="00BD0E8E"/>
    <w:rPr>
      <w:rFonts w:asciiTheme="minorHAnsi" w:eastAsiaTheme="majorEastAsia" w:hAnsiTheme="minorHAnsi" w:cstheme="majorBidi"/>
      <w:color w:val="1D2E49" w:themeColor="accent1" w:themeShade="BF"/>
    </w:rPr>
  </w:style>
  <w:style w:type="character" w:customStyle="1" w:styleId="Heading6Char">
    <w:name w:val="Heading 6 Char"/>
    <w:basedOn w:val="DefaultParagraphFont"/>
    <w:link w:val="Heading6"/>
    <w:uiPriority w:val="9"/>
    <w:semiHidden/>
    <w:rsid w:val="00BD0E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0E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0E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0E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0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E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E8E"/>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BD0E8E"/>
    <w:pPr>
      <w:ind w:left="720"/>
      <w:contextualSpacing/>
    </w:pPr>
  </w:style>
  <w:style w:type="paragraph" w:styleId="Quote">
    <w:name w:val="Quote"/>
    <w:basedOn w:val="Normal"/>
    <w:next w:val="Normal"/>
    <w:link w:val="QuoteChar"/>
    <w:uiPriority w:val="29"/>
    <w:qFormat/>
    <w:rsid w:val="00BD0E8E"/>
    <w:pPr>
      <w:spacing w:before="160"/>
      <w:jc w:val="center"/>
    </w:pPr>
    <w:rPr>
      <w:i/>
      <w:iCs/>
      <w:color w:val="404040" w:themeColor="text1" w:themeTint="BF"/>
    </w:rPr>
  </w:style>
  <w:style w:type="character" w:customStyle="1" w:styleId="QuoteChar">
    <w:name w:val="Quote Char"/>
    <w:basedOn w:val="DefaultParagraphFont"/>
    <w:link w:val="Quote"/>
    <w:uiPriority w:val="29"/>
    <w:rsid w:val="00BD0E8E"/>
    <w:rPr>
      <w:i/>
      <w:iCs/>
      <w:color w:val="404040" w:themeColor="text1" w:themeTint="BF"/>
    </w:rPr>
  </w:style>
  <w:style w:type="paragraph" w:styleId="IntenseQuote">
    <w:name w:val="Intense Quote"/>
    <w:basedOn w:val="Normal"/>
    <w:next w:val="Normal"/>
    <w:link w:val="IntenseQuoteChar"/>
    <w:uiPriority w:val="30"/>
    <w:qFormat/>
    <w:rsid w:val="00BD0E8E"/>
    <w:pPr>
      <w:pBdr>
        <w:top w:val="single" w:sz="4" w:space="10" w:color="1D2E49" w:themeColor="accent1" w:themeShade="BF"/>
        <w:bottom w:val="single" w:sz="4" w:space="10" w:color="1D2E49" w:themeColor="accent1" w:themeShade="BF"/>
      </w:pBdr>
      <w:spacing w:before="360" w:after="360"/>
      <w:ind w:left="864" w:right="864"/>
      <w:jc w:val="center"/>
    </w:pPr>
    <w:rPr>
      <w:i/>
      <w:iCs/>
      <w:color w:val="1D2E49" w:themeColor="accent1" w:themeShade="BF"/>
    </w:rPr>
  </w:style>
  <w:style w:type="character" w:customStyle="1" w:styleId="IntenseQuoteChar">
    <w:name w:val="Intense Quote Char"/>
    <w:basedOn w:val="DefaultParagraphFont"/>
    <w:link w:val="IntenseQuote"/>
    <w:uiPriority w:val="30"/>
    <w:rsid w:val="00BD0E8E"/>
    <w:rPr>
      <w:i/>
      <w:iCs/>
      <w:color w:val="1D2E49" w:themeColor="accent1" w:themeShade="BF"/>
    </w:rPr>
  </w:style>
  <w:style w:type="character" w:styleId="IntenseEmphasis">
    <w:name w:val="Intense Emphasis"/>
    <w:basedOn w:val="DefaultParagraphFont"/>
    <w:uiPriority w:val="21"/>
    <w:qFormat/>
    <w:rsid w:val="00BD0E8E"/>
    <w:rPr>
      <w:i/>
      <w:iCs/>
      <w:color w:val="1D2E49" w:themeColor="accent1" w:themeShade="BF"/>
    </w:rPr>
  </w:style>
  <w:style w:type="character" w:styleId="IntenseReference">
    <w:name w:val="Intense Reference"/>
    <w:basedOn w:val="DefaultParagraphFont"/>
    <w:uiPriority w:val="32"/>
    <w:qFormat/>
    <w:rsid w:val="00BD0E8E"/>
    <w:rPr>
      <w:b/>
      <w:bCs/>
      <w:smallCaps/>
      <w:color w:val="1D2E49"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AISBranding">
  <a:themeElements>
    <a:clrScheme name="AIS Branding">
      <a:dk1>
        <a:sysClr val="windowText" lastClr="000000"/>
      </a:dk1>
      <a:lt1>
        <a:sysClr val="window" lastClr="FFFFFF"/>
      </a:lt1>
      <a:dk2>
        <a:srgbClr val="356E71"/>
      </a:dk2>
      <a:lt2>
        <a:srgbClr val="64C8AA"/>
      </a:lt2>
      <a:accent1>
        <a:srgbClr val="273E62"/>
      </a:accent1>
      <a:accent2>
        <a:srgbClr val="FF8939"/>
      </a:accent2>
      <a:accent3>
        <a:srgbClr val="7BBCB1"/>
      </a:accent3>
      <a:accent4>
        <a:srgbClr val="DD3848"/>
      </a:accent4>
      <a:accent5>
        <a:srgbClr val="EB7C96"/>
      </a:accent5>
      <a:accent6>
        <a:srgbClr val="F4CE01"/>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3838</Characters>
  <Application>Microsoft Office Word</Application>
  <DocSecurity>0</DocSecurity>
  <Lines>31</Lines>
  <Paragraphs>9</Paragraphs>
  <ScaleCrop>false</ScaleCrop>
  <Company>COMPANYTEST</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Mack</dc:creator>
  <cp:keywords/>
  <dc:description/>
  <cp:lastModifiedBy>Shannon Mack</cp:lastModifiedBy>
  <cp:revision>1</cp:revision>
  <dcterms:created xsi:type="dcterms:W3CDTF">2025-09-29T09:14:00Z</dcterms:created>
  <dcterms:modified xsi:type="dcterms:W3CDTF">2025-09-29T09:15:00Z</dcterms:modified>
</cp:coreProperties>
</file>