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542A" w14:textId="3CCF412B" w:rsidR="00745323" w:rsidRDefault="00745323" w:rsidP="00745323">
      <w:pPr>
        <w:rPr>
          <w:b/>
          <w:bCs/>
        </w:rPr>
      </w:pPr>
      <w:r w:rsidRPr="00745323">
        <w:rPr>
          <w:b/>
          <w:bCs/>
        </w:rPr>
        <w:t>South Littleton Parish Council</w:t>
      </w:r>
      <w:r>
        <w:rPr>
          <w:b/>
          <w:bCs/>
        </w:rPr>
        <w:t xml:space="preserve"> - </w:t>
      </w:r>
      <w:r w:rsidRPr="00745323">
        <w:rPr>
          <w:b/>
          <w:bCs/>
        </w:rPr>
        <w:t>Whistleblowing Policy</w:t>
      </w:r>
    </w:p>
    <w:p w14:paraId="5C2BFB3F" w14:textId="611F77AF" w:rsidR="00745323" w:rsidRPr="00745323" w:rsidRDefault="00745323" w:rsidP="00745323">
      <w:pPr>
        <w:rPr>
          <w:b/>
          <w:bCs/>
        </w:rPr>
      </w:pPr>
      <w:r w:rsidRPr="00745323">
        <w:pict w14:anchorId="1E5294B4">
          <v:rect id="_x0000_i1097" style="width:0;height:1.5pt" o:hralign="center" o:hrstd="t" o:hr="t" fillcolor="#a0a0a0" stroked="f"/>
        </w:pict>
      </w:r>
    </w:p>
    <w:p w14:paraId="5A75AB91" w14:textId="77777777" w:rsidR="00745323" w:rsidRPr="00745323" w:rsidRDefault="00745323" w:rsidP="00745323">
      <w:pPr>
        <w:rPr>
          <w:b/>
          <w:bCs/>
        </w:rPr>
      </w:pPr>
      <w:r w:rsidRPr="00745323">
        <w:rPr>
          <w:b/>
          <w:bCs/>
        </w:rPr>
        <w:t>1. Introduction</w:t>
      </w:r>
    </w:p>
    <w:p w14:paraId="6F43D17C" w14:textId="77777777" w:rsidR="00745323" w:rsidRPr="00745323" w:rsidRDefault="00745323" w:rsidP="00745323">
      <w:r w:rsidRPr="00745323">
        <w:t>South Littleton Parish Council is committed to the highest standards of openness, integrity, and accountability. Employees, councillors, contractors, and volunteers are encouraged to raise genuine concerns about malpractice or wrongdoing at the earliest opportunity.</w:t>
      </w:r>
    </w:p>
    <w:p w14:paraId="17C86CE6" w14:textId="77777777" w:rsidR="00745323" w:rsidRPr="00745323" w:rsidRDefault="00745323" w:rsidP="00745323">
      <w:r w:rsidRPr="00745323">
        <w:t>This policy sets out how concerns may be raised and how the Council will respond. It reflects the provisions of the Public Interest Disclosure Act 1998 (PIDA), which protects individuals who disclose information in the public interest.</w:t>
      </w:r>
    </w:p>
    <w:p w14:paraId="7F0667ED" w14:textId="77777777" w:rsidR="00745323" w:rsidRPr="00745323" w:rsidRDefault="00745323" w:rsidP="00745323">
      <w:r w:rsidRPr="00745323">
        <w:pict w14:anchorId="7A2D29F1">
          <v:rect id="_x0000_i1079" style="width:0;height:1.5pt" o:hralign="center" o:hrstd="t" o:hr="t" fillcolor="#a0a0a0" stroked="f"/>
        </w:pict>
      </w:r>
    </w:p>
    <w:p w14:paraId="33CDEE07" w14:textId="77777777" w:rsidR="00745323" w:rsidRPr="00745323" w:rsidRDefault="00745323" w:rsidP="00745323">
      <w:pPr>
        <w:rPr>
          <w:b/>
          <w:bCs/>
        </w:rPr>
      </w:pPr>
      <w:r w:rsidRPr="00745323">
        <w:rPr>
          <w:b/>
          <w:bCs/>
        </w:rPr>
        <w:t>2. Purpose of the Policy</w:t>
      </w:r>
    </w:p>
    <w:p w14:paraId="7E3150FD" w14:textId="77777777" w:rsidR="00745323" w:rsidRPr="00745323" w:rsidRDefault="00745323" w:rsidP="00745323">
      <w:r w:rsidRPr="00745323">
        <w:t>The aims of this policy are to:</w:t>
      </w:r>
    </w:p>
    <w:p w14:paraId="44FD00EE" w14:textId="77777777" w:rsidR="00745323" w:rsidRPr="00745323" w:rsidRDefault="00745323" w:rsidP="00745323">
      <w:pPr>
        <w:numPr>
          <w:ilvl w:val="0"/>
          <w:numId w:val="10"/>
        </w:numPr>
      </w:pPr>
      <w:r w:rsidRPr="00745323">
        <w:t>Encourage individuals to report concerns without fear of victimisation.</w:t>
      </w:r>
    </w:p>
    <w:p w14:paraId="39199097" w14:textId="77777777" w:rsidR="00745323" w:rsidRPr="00745323" w:rsidRDefault="00745323" w:rsidP="00745323">
      <w:pPr>
        <w:numPr>
          <w:ilvl w:val="0"/>
          <w:numId w:val="10"/>
        </w:numPr>
      </w:pPr>
      <w:r w:rsidRPr="00745323">
        <w:t>Ensure concerns are taken seriously and dealt with properly.</w:t>
      </w:r>
    </w:p>
    <w:p w14:paraId="24CCBA70" w14:textId="77777777" w:rsidR="00745323" w:rsidRPr="00745323" w:rsidRDefault="00745323" w:rsidP="00745323">
      <w:pPr>
        <w:numPr>
          <w:ilvl w:val="0"/>
          <w:numId w:val="10"/>
        </w:numPr>
      </w:pPr>
      <w:r w:rsidRPr="00745323">
        <w:t>Enable issues to be raised internally so that the Council can address them.</w:t>
      </w:r>
    </w:p>
    <w:p w14:paraId="5D191C66" w14:textId="77777777" w:rsidR="00745323" w:rsidRPr="00745323" w:rsidRDefault="00745323" w:rsidP="00745323">
      <w:pPr>
        <w:numPr>
          <w:ilvl w:val="0"/>
          <w:numId w:val="10"/>
        </w:numPr>
      </w:pPr>
      <w:r w:rsidRPr="00745323">
        <w:t>Provide guidance on how to raise concerns and what to expect.</w:t>
      </w:r>
    </w:p>
    <w:p w14:paraId="27635A5C" w14:textId="77777777" w:rsidR="00745323" w:rsidRPr="00745323" w:rsidRDefault="00745323" w:rsidP="00745323">
      <w:pPr>
        <w:numPr>
          <w:ilvl w:val="0"/>
          <w:numId w:val="10"/>
        </w:numPr>
      </w:pPr>
      <w:r w:rsidRPr="00745323">
        <w:t>Protect whistleblowers in accordance with PIDA.</w:t>
      </w:r>
    </w:p>
    <w:p w14:paraId="298E4514" w14:textId="77777777" w:rsidR="00745323" w:rsidRPr="00745323" w:rsidRDefault="00745323" w:rsidP="00745323">
      <w:r w:rsidRPr="00745323">
        <w:t>This policy is not a replacement for the Council’s Grievance Procedure, which covers personal employment issues.</w:t>
      </w:r>
    </w:p>
    <w:p w14:paraId="51FCD8F2" w14:textId="77777777" w:rsidR="00745323" w:rsidRPr="00745323" w:rsidRDefault="00745323" w:rsidP="00745323">
      <w:r w:rsidRPr="00745323">
        <w:pict w14:anchorId="31AEFF75">
          <v:rect id="_x0000_i1080" style="width:0;height:1.5pt" o:hralign="center" o:hrstd="t" o:hr="t" fillcolor="#a0a0a0" stroked="f"/>
        </w:pict>
      </w:r>
    </w:p>
    <w:p w14:paraId="6C1B9D18" w14:textId="77777777" w:rsidR="00745323" w:rsidRPr="00745323" w:rsidRDefault="00745323" w:rsidP="00745323">
      <w:pPr>
        <w:rPr>
          <w:b/>
          <w:bCs/>
        </w:rPr>
      </w:pPr>
      <w:r w:rsidRPr="00745323">
        <w:rPr>
          <w:b/>
          <w:bCs/>
        </w:rPr>
        <w:t>3. What Can Be Reported?</w:t>
      </w:r>
    </w:p>
    <w:p w14:paraId="7A66921C" w14:textId="77777777" w:rsidR="00745323" w:rsidRPr="00745323" w:rsidRDefault="00745323" w:rsidP="00745323">
      <w:r w:rsidRPr="00745323">
        <w:t>A whistleblowing concern is where an individual reasonably believes that there is wrongdoing in the public interest. Examples include:</w:t>
      </w:r>
    </w:p>
    <w:p w14:paraId="4C0027B2" w14:textId="77777777" w:rsidR="00745323" w:rsidRPr="00745323" w:rsidRDefault="00745323" w:rsidP="00745323">
      <w:pPr>
        <w:numPr>
          <w:ilvl w:val="0"/>
          <w:numId w:val="11"/>
        </w:numPr>
      </w:pPr>
      <w:r w:rsidRPr="00745323">
        <w:t>Criminal activity or breach of legal obligations.</w:t>
      </w:r>
    </w:p>
    <w:p w14:paraId="3CFFA451" w14:textId="77777777" w:rsidR="00745323" w:rsidRPr="00745323" w:rsidRDefault="00745323" w:rsidP="00745323">
      <w:pPr>
        <w:numPr>
          <w:ilvl w:val="0"/>
          <w:numId w:val="11"/>
        </w:numPr>
      </w:pPr>
      <w:r w:rsidRPr="00745323">
        <w:t>Fraud, corruption, or financial irregularity.</w:t>
      </w:r>
    </w:p>
    <w:p w14:paraId="364F8A4C" w14:textId="77777777" w:rsidR="00745323" w:rsidRPr="00745323" w:rsidRDefault="00745323" w:rsidP="00745323">
      <w:pPr>
        <w:numPr>
          <w:ilvl w:val="0"/>
          <w:numId w:val="11"/>
        </w:numPr>
      </w:pPr>
      <w:r w:rsidRPr="00745323">
        <w:t>Misconduct or improper behaviour by councillors, employees, or contractors.</w:t>
      </w:r>
    </w:p>
    <w:p w14:paraId="24795B67" w14:textId="77777777" w:rsidR="00745323" w:rsidRPr="00745323" w:rsidRDefault="00745323" w:rsidP="00745323">
      <w:pPr>
        <w:numPr>
          <w:ilvl w:val="0"/>
          <w:numId w:val="11"/>
        </w:numPr>
      </w:pPr>
      <w:r w:rsidRPr="00745323">
        <w:t>Breach of health and safety duties creating risk.</w:t>
      </w:r>
    </w:p>
    <w:p w14:paraId="5EB4576E" w14:textId="77777777" w:rsidR="00745323" w:rsidRPr="00745323" w:rsidRDefault="00745323" w:rsidP="00745323">
      <w:pPr>
        <w:numPr>
          <w:ilvl w:val="0"/>
          <w:numId w:val="11"/>
        </w:numPr>
      </w:pPr>
      <w:r w:rsidRPr="00745323">
        <w:t>Damage to the environment.</w:t>
      </w:r>
    </w:p>
    <w:p w14:paraId="478B0F12" w14:textId="77777777" w:rsidR="00745323" w:rsidRPr="00745323" w:rsidRDefault="00745323" w:rsidP="00745323">
      <w:pPr>
        <w:numPr>
          <w:ilvl w:val="0"/>
          <w:numId w:val="11"/>
        </w:numPr>
      </w:pPr>
      <w:r w:rsidRPr="00745323">
        <w:t>Unauthorised disclosure or misuse of personal data.</w:t>
      </w:r>
    </w:p>
    <w:p w14:paraId="3CCE05E6" w14:textId="77777777" w:rsidR="00745323" w:rsidRPr="00745323" w:rsidRDefault="00745323" w:rsidP="00745323">
      <w:pPr>
        <w:numPr>
          <w:ilvl w:val="0"/>
          <w:numId w:val="11"/>
        </w:numPr>
      </w:pPr>
      <w:r w:rsidRPr="00745323">
        <w:t>Deliberate concealment of any of the above.</w:t>
      </w:r>
    </w:p>
    <w:p w14:paraId="46C512A9" w14:textId="77777777" w:rsidR="00745323" w:rsidRPr="00745323" w:rsidRDefault="00745323" w:rsidP="00745323">
      <w:r w:rsidRPr="00745323">
        <w:t>Concerns may relate to actions already taken, being taken, or likely to be taken.</w:t>
      </w:r>
    </w:p>
    <w:p w14:paraId="1169A986" w14:textId="77777777" w:rsidR="00745323" w:rsidRPr="00745323" w:rsidRDefault="00745323" w:rsidP="00745323">
      <w:r w:rsidRPr="00745323">
        <w:pict w14:anchorId="218AFD8D">
          <v:rect id="_x0000_i1081" style="width:0;height:1.5pt" o:hralign="center" o:hrstd="t" o:hr="t" fillcolor="#a0a0a0" stroked="f"/>
        </w:pict>
      </w:r>
    </w:p>
    <w:p w14:paraId="1D994223" w14:textId="77777777" w:rsidR="00745323" w:rsidRPr="00745323" w:rsidRDefault="00745323" w:rsidP="00745323">
      <w:pPr>
        <w:rPr>
          <w:b/>
          <w:bCs/>
        </w:rPr>
      </w:pPr>
      <w:r w:rsidRPr="00745323">
        <w:rPr>
          <w:b/>
          <w:bCs/>
        </w:rPr>
        <w:t>4. Who Does This Policy Apply To?</w:t>
      </w:r>
    </w:p>
    <w:p w14:paraId="1B8B04FF" w14:textId="77777777" w:rsidR="00745323" w:rsidRPr="00745323" w:rsidRDefault="00745323" w:rsidP="00745323">
      <w:r w:rsidRPr="00745323">
        <w:t>This policy applies to:</w:t>
      </w:r>
    </w:p>
    <w:p w14:paraId="3F4B5AAB" w14:textId="77777777" w:rsidR="00745323" w:rsidRPr="00745323" w:rsidRDefault="00745323" w:rsidP="00745323">
      <w:pPr>
        <w:numPr>
          <w:ilvl w:val="0"/>
          <w:numId w:val="12"/>
        </w:numPr>
      </w:pPr>
      <w:r w:rsidRPr="00745323">
        <w:lastRenderedPageBreak/>
        <w:t>The Clerk/RFO</w:t>
      </w:r>
    </w:p>
    <w:p w14:paraId="48E21628" w14:textId="77777777" w:rsidR="00745323" w:rsidRPr="00745323" w:rsidRDefault="00745323" w:rsidP="00745323">
      <w:pPr>
        <w:numPr>
          <w:ilvl w:val="0"/>
          <w:numId w:val="12"/>
        </w:numPr>
      </w:pPr>
      <w:r w:rsidRPr="00745323">
        <w:t>Councillors</w:t>
      </w:r>
    </w:p>
    <w:p w14:paraId="2478D3AD" w14:textId="77777777" w:rsidR="00745323" w:rsidRPr="00745323" w:rsidRDefault="00745323" w:rsidP="00745323">
      <w:pPr>
        <w:numPr>
          <w:ilvl w:val="0"/>
          <w:numId w:val="12"/>
        </w:numPr>
      </w:pPr>
      <w:r w:rsidRPr="00745323">
        <w:t>Volunteers working on behalf of the Council</w:t>
      </w:r>
    </w:p>
    <w:p w14:paraId="4A5D50D7" w14:textId="77777777" w:rsidR="00745323" w:rsidRPr="00745323" w:rsidRDefault="00745323" w:rsidP="00745323">
      <w:pPr>
        <w:numPr>
          <w:ilvl w:val="0"/>
          <w:numId w:val="12"/>
        </w:numPr>
      </w:pPr>
      <w:r w:rsidRPr="00745323">
        <w:t>Contractors, consultants, or agency workers</w:t>
      </w:r>
    </w:p>
    <w:p w14:paraId="78F31C66" w14:textId="77777777" w:rsidR="00745323" w:rsidRPr="00745323" w:rsidRDefault="00745323" w:rsidP="00745323">
      <w:pPr>
        <w:numPr>
          <w:ilvl w:val="0"/>
          <w:numId w:val="12"/>
        </w:numPr>
      </w:pPr>
      <w:r w:rsidRPr="00745323">
        <w:t>Any individual who reasonably believes wrongdoing is occurring in connection with the Council’s activities</w:t>
      </w:r>
    </w:p>
    <w:p w14:paraId="21955C28" w14:textId="77777777" w:rsidR="00745323" w:rsidRPr="00745323" w:rsidRDefault="00745323" w:rsidP="00745323">
      <w:r w:rsidRPr="00745323">
        <w:pict w14:anchorId="6C2DE017">
          <v:rect id="_x0000_i1082" style="width:0;height:1.5pt" o:hralign="center" o:hrstd="t" o:hr="t" fillcolor="#a0a0a0" stroked="f"/>
        </w:pict>
      </w:r>
    </w:p>
    <w:p w14:paraId="79FD41F8" w14:textId="77777777" w:rsidR="00745323" w:rsidRPr="00745323" w:rsidRDefault="00745323" w:rsidP="00745323">
      <w:pPr>
        <w:rPr>
          <w:b/>
          <w:bCs/>
        </w:rPr>
      </w:pPr>
      <w:r w:rsidRPr="00745323">
        <w:rPr>
          <w:b/>
          <w:bCs/>
        </w:rPr>
        <w:t>5. Raising a Concern</w:t>
      </w:r>
    </w:p>
    <w:p w14:paraId="03D8C653" w14:textId="77777777" w:rsidR="00745323" w:rsidRPr="00745323" w:rsidRDefault="00745323" w:rsidP="00745323">
      <w:r w:rsidRPr="00745323">
        <w:t>Concerns should be raised as soon as possible. Individuals may raise concerns:</w:t>
      </w:r>
    </w:p>
    <w:p w14:paraId="2E3D221D" w14:textId="77777777" w:rsidR="00745323" w:rsidRPr="00745323" w:rsidRDefault="00745323" w:rsidP="00745323">
      <w:pPr>
        <w:rPr>
          <w:b/>
          <w:bCs/>
        </w:rPr>
      </w:pPr>
      <w:r w:rsidRPr="00745323">
        <w:rPr>
          <w:b/>
          <w:bCs/>
        </w:rPr>
        <w:t>5.1 Internally</w:t>
      </w:r>
    </w:p>
    <w:p w14:paraId="7A5282B5" w14:textId="77777777" w:rsidR="00745323" w:rsidRPr="00745323" w:rsidRDefault="00745323" w:rsidP="00745323">
      <w:r w:rsidRPr="00745323">
        <w:t>In the first instance, concerns should be reported to:</w:t>
      </w:r>
    </w:p>
    <w:p w14:paraId="4A6D413B" w14:textId="77777777" w:rsidR="00745323" w:rsidRPr="00745323" w:rsidRDefault="00745323" w:rsidP="00745323">
      <w:pPr>
        <w:numPr>
          <w:ilvl w:val="0"/>
          <w:numId w:val="13"/>
        </w:numPr>
      </w:pPr>
      <w:r w:rsidRPr="00745323">
        <w:rPr>
          <w:b/>
          <w:bCs/>
        </w:rPr>
        <w:t>The Clerk</w:t>
      </w:r>
      <w:r w:rsidRPr="00745323">
        <w:t xml:space="preserve"> – for concerns about Council activities or councillor conduct</w:t>
      </w:r>
    </w:p>
    <w:p w14:paraId="5C6C486D" w14:textId="77777777" w:rsidR="00745323" w:rsidRPr="00745323" w:rsidRDefault="00745323" w:rsidP="00745323">
      <w:pPr>
        <w:numPr>
          <w:ilvl w:val="0"/>
          <w:numId w:val="13"/>
        </w:numPr>
      </w:pPr>
      <w:r w:rsidRPr="00745323">
        <w:rPr>
          <w:b/>
          <w:bCs/>
        </w:rPr>
        <w:t>The Chair of the Council</w:t>
      </w:r>
      <w:r w:rsidRPr="00745323">
        <w:t xml:space="preserve"> – for concerns about the Clerk</w:t>
      </w:r>
    </w:p>
    <w:p w14:paraId="41236F30" w14:textId="77777777" w:rsidR="00745323" w:rsidRPr="00745323" w:rsidRDefault="00745323" w:rsidP="00745323">
      <w:pPr>
        <w:numPr>
          <w:ilvl w:val="0"/>
          <w:numId w:val="13"/>
        </w:numPr>
      </w:pPr>
      <w:r w:rsidRPr="00745323">
        <w:rPr>
          <w:b/>
          <w:bCs/>
        </w:rPr>
        <w:t>The Vice Chair</w:t>
      </w:r>
      <w:r w:rsidRPr="00745323">
        <w:t xml:space="preserve"> – if the concern involves the Chair</w:t>
      </w:r>
    </w:p>
    <w:p w14:paraId="076D6C5E" w14:textId="77777777" w:rsidR="00745323" w:rsidRPr="00745323" w:rsidRDefault="00745323" w:rsidP="00745323">
      <w:r w:rsidRPr="00745323">
        <w:t>Concerns may be reported:</w:t>
      </w:r>
    </w:p>
    <w:p w14:paraId="0BE30328" w14:textId="77777777" w:rsidR="00745323" w:rsidRPr="00745323" w:rsidRDefault="00745323" w:rsidP="00745323">
      <w:pPr>
        <w:numPr>
          <w:ilvl w:val="0"/>
          <w:numId w:val="14"/>
        </w:numPr>
      </w:pPr>
      <w:r w:rsidRPr="00745323">
        <w:t>In writing</w:t>
      </w:r>
    </w:p>
    <w:p w14:paraId="1EFCC111" w14:textId="77777777" w:rsidR="00745323" w:rsidRPr="00745323" w:rsidRDefault="00745323" w:rsidP="00745323">
      <w:pPr>
        <w:numPr>
          <w:ilvl w:val="0"/>
          <w:numId w:val="14"/>
        </w:numPr>
      </w:pPr>
      <w:r w:rsidRPr="00745323">
        <w:t>By email</w:t>
      </w:r>
    </w:p>
    <w:p w14:paraId="6187711B" w14:textId="77777777" w:rsidR="00745323" w:rsidRPr="00745323" w:rsidRDefault="00745323" w:rsidP="00745323">
      <w:pPr>
        <w:numPr>
          <w:ilvl w:val="0"/>
          <w:numId w:val="14"/>
        </w:numPr>
      </w:pPr>
      <w:r w:rsidRPr="00745323">
        <w:t>Or verbally (a written note will then be made)</w:t>
      </w:r>
    </w:p>
    <w:p w14:paraId="240B0109" w14:textId="77777777" w:rsidR="00745323" w:rsidRPr="00745323" w:rsidRDefault="00745323" w:rsidP="00745323">
      <w:pPr>
        <w:rPr>
          <w:b/>
          <w:bCs/>
        </w:rPr>
      </w:pPr>
      <w:r w:rsidRPr="00745323">
        <w:rPr>
          <w:b/>
          <w:bCs/>
        </w:rPr>
        <w:t>5.2 Externally</w:t>
      </w:r>
    </w:p>
    <w:p w14:paraId="55338325" w14:textId="77777777" w:rsidR="00745323" w:rsidRPr="00745323" w:rsidRDefault="00745323" w:rsidP="00745323">
      <w:r w:rsidRPr="00745323">
        <w:t>If internal reporting is not appropriate, concerns may be raised with:</w:t>
      </w:r>
    </w:p>
    <w:p w14:paraId="343B0A38" w14:textId="77777777" w:rsidR="00745323" w:rsidRPr="00745323" w:rsidRDefault="00745323" w:rsidP="00745323">
      <w:pPr>
        <w:numPr>
          <w:ilvl w:val="0"/>
          <w:numId w:val="15"/>
        </w:numPr>
      </w:pPr>
      <w:r w:rsidRPr="00745323">
        <w:rPr>
          <w:b/>
          <w:bCs/>
        </w:rPr>
        <w:t>Monitoring Officer</w:t>
      </w:r>
      <w:r w:rsidRPr="00745323">
        <w:t>, Wychavon District Council</w:t>
      </w:r>
    </w:p>
    <w:p w14:paraId="5803CFC6" w14:textId="77777777" w:rsidR="00745323" w:rsidRPr="00745323" w:rsidRDefault="00745323" w:rsidP="00745323">
      <w:pPr>
        <w:numPr>
          <w:ilvl w:val="0"/>
          <w:numId w:val="15"/>
        </w:numPr>
      </w:pPr>
      <w:r w:rsidRPr="00745323">
        <w:rPr>
          <w:b/>
          <w:bCs/>
        </w:rPr>
        <w:t>External Auditor</w:t>
      </w:r>
      <w:r w:rsidRPr="00745323">
        <w:t xml:space="preserve"> (for financial irregularities)</w:t>
      </w:r>
    </w:p>
    <w:p w14:paraId="2546B912" w14:textId="77777777" w:rsidR="00745323" w:rsidRPr="00745323" w:rsidRDefault="00745323" w:rsidP="00745323">
      <w:pPr>
        <w:numPr>
          <w:ilvl w:val="0"/>
          <w:numId w:val="15"/>
        </w:numPr>
      </w:pPr>
      <w:r w:rsidRPr="00745323">
        <w:rPr>
          <w:b/>
          <w:bCs/>
        </w:rPr>
        <w:t>Police</w:t>
      </w:r>
      <w:r w:rsidRPr="00745323">
        <w:t xml:space="preserve"> (for criminal matters)</w:t>
      </w:r>
    </w:p>
    <w:p w14:paraId="2536AEB9" w14:textId="77777777" w:rsidR="00745323" w:rsidRPr="00745323" w:rsidRDefault="00745323" w:rsidP="00745323">
      <w:pPr>
        <w:numPr>
          <w:ilvl w:val="0"/>
          <w:numId w:val="15"/>
        </w:numPr>
      </w:pPr>
      <w:r w:rsidRPr="00745323">
        <w:rPr>
          <w:b/>
          <w:bCs/>
        </w:rPr>
        <w:t>Information Commissioner’s Office (ICO)</w:t>
      </w:r>
      <w:r w:rsidRPr="00745323">
        <w:t xml:space="preserve"> (for data protection breaches)</w:t>
      </w:r>
    </w:p>
    <w:p w14:paraId="3DD9B81D" w14:textId="77777777" w:rsidR="00745323" w:rsidRPr="00745323" w:rsidRDefault="00745323" w:rsidP="00745323">
      <w:pPr>
        <w:numPr>
          <w:ilvl w:val="0"/>
          <w:numId w:val="15"/>
        </w:numPr>
      </w:pPr>
      <w:r w:rsidRPr="00745323">
        <w:rPr>
          <w:b/>
          <w:bCs/>
        </w:rPr>
        <w:t>Health and Safety Executive (HSE)</w:t>
      </w:r>
    </w:p>
    <w:p w14:paraId="64790042" w14:textId="77777777" w:rsidR="00745323" w:rsidRPr="00745323" w:rsidRDefault="00745323" w:rsidP="00745323">
      <w:pPr>
        <w:numPr>
          <w:ilvl w:val="0"/>
          <w:numId w:val="15"/>
        </w:numPr>
      </w:pPr>
      <w:r w:rsidRPr="00745323">
        <w:rPr>
          <w:b/>
          <w:bCs/>
        </w:rPr>
        <w:t>SLCC or NALC advisory services</w:t>
      </w:r>
      <w:r w:rsidRPr="00745323">
        <w:t xml:space="preserve"> (for impartial guidance)</w:t>
      </w:r>
    </w:p>
    <w:p w14:paraId="110BC802" w14:textId="77777777" w:rsidR="00745323" w:rsidRPr="00745323" w:rsidRDefault="00745323" w:rsidP="00745323">
      <w:r w:rsidRPr="00745323">
        <w:t>Individuals may seek confidential advice at any stage from Public Concern at Work (Protect), an independent whistleblowing charity.</w:t>
      </w:r>
    </w:p>
    <w:p w14:paraId="0C04BB03" w14:textId="77777777" w:rsidR="00745323" w:rsidRPr="00745323" w:rsidRDefault="00745323" w:rsidP="00745323">
      <w:r w:rsidRPr="00745323">
        <w:pict w14:anchorId="36FAB257">
          <v:rect id="_x0000_i1083" style="width:0;height:1.5pt" o:hralign="center" o:hrstd="t" o:hr="t" fillcolor="#a0a0a0" stroked="f"/>
        </w:pict>
      </w:r>
    </w:p>
    <w:p w14:paraId="2C87241A" w14:textId="77777777" w:rsidR="00745323" w:rsidRPr="00745323" w:rsidRDefault="00745323" w:rsidP="00745323">
      <w:pPr>
        <w:rPr>
          <w:b/>
          <w:bCs/>
        </w:rPr>
      </w:pPr>
      <w:r w:rsidRPr="00745323">
        <w:rPr>
          <w:b/>
          <w:bCs/>
        </w:rPr>
        <w:t>6. Confidentiality</w:t>
      </w:r>
    </w:p>
    <w:p w14:paraId="5780D442" w14:textId="77777777" w:rsidR="00745323" w:rsidRPr="00745323" w:rsidRDefault="00745323" w:rsidP="00745323">
      <w:r w:rsidRPr="00745323">
        <w:t>All concerns will be treated sensitively and confidentially. The Council will make every effort to protect the identity of the whistleblower, unless required by law to disclose it.</w:t>
      </w:r>
    </w:p>
    <w:p w14:paraId="045BC784" w14:textId="77777777" w:rsidR="00745323" w:rsidRPr="00745323" w:rsidRDefault="00745323" w:rsidP="00745323">
      <w:r w:rsidRPr="00745323">
        <w:t>Anonymous concerns will be considered, though may be harder to investigate.</w:t>
      </w:r>
    </w:p>
    <w:p w14:paraId="5001B6C5" w14:textId="77777777" w:rsidR="00745323" w:rsidRPr="00745323" w:rsidRDefault="00745323" w:rsidP="00745323">
      <w:r w:rsidRPr="00745323">
        <w:lastRenderedPageBreak/>
        <w:pict w14:anchorId="4A98814E">
          <v:rect id="_x0000_i1084" style="width:0;height:1.5pt" o:hralign="center" o:hrstd="t" o:hr="t" fillcolor="#a0a0a0" stroked="f"/>
        </w:pict>
      </w:r>
    </w:p>
    <w:p w14:paraId="6CCD76A9" w14:textId="77777777" w:rsidR="00745323" w:rsidRPr="00745323" w:rsidRDefault="00745323" w:rsidP="00745323">
      <w:pPr>
        <w:rPr>
          <w:b/>
          <w:bCs/>
        </w:rPr>
      </w:pPr>
      <w:r w:rsidRPr="00745323">
        <w:rPr>
          <w:b/>
          <w:bCs/>
        </w:rPr>
        <w:t>7. Protection for Whistleblowers</w:t>
      </w:r>
    </w:p>
    <w:p w14:paraId="214E1C18" w14:textId="77777777" w:rsidR="00745323" w:rsidRPr="00745323" w:rsidRDefault="00745323" w:rsidP="00745323">
      <w:r w:rsidRPr="00745323">
        <w:t>The Council will not tolerate harassment, victimisation, or reprisals against anyone who raises a concern in good faith.</w:t>
      </w:r>
    </w:p>
    <w:p w14:paraId="4C98915F" w14:textId="77777777" w:rsidR="00745323" w:rsidRPr="00745323" w:rsidRDefault="00745323" w:rsidP="00745323">
      <w:r w:rsidRPr="00745323">
        <w:t>Under the Public Interest Disclosure Act 1998, a whistleblower is protected if:</w:t>
      </w:r>
    </w:p>
    <w:p w14:paraId="140DBC63" w14:textId="77777777" w:rsidR="00745323" w:rsidRPr="00745323" w:rsidRDefault="00745323" w:rsidP="00745323">
      <w:pPr>
        <w:numPr>
          <w:ilvl w:val="0"/>
          <w:numId w:val="16"/>
        </w:numPr>
      </w:pPr>
      <w:r w:rsidRPr="00745323">
        <w:t>They reasonably believe their disclosure is in the public interest; and</w:t>
      </w:r>
    </w:p>
    <w:p w14:paraId="6E00D164" w14:textId="77777777" w:rsidR="00745323" w:rsidRPr="00745323" w:rsidRDefault="00745323" w:rsidP="00745323">
      <w:pPr>
        <w:numPr>
          <w:ilvl w:val="0"/>
          <w:numId w:val="16"/>
        </w:numPr>
      </w:pPr>
      <w:r w:rsidRPr="00745323">
        <w:t>The information they disclose is substantially true; and</w:t>
      </w:r>
    </w:p>
    <w:p w14:paraId="306DE8B5" w14:textId="77777777" w:rsidR="00745323" w:rsidRPr="00745323" w:rsidRDefault="00745323" w:rsidP="00745323">
      <w:pPr>
        <w:numPr>
          <w:ilvl w:val="0"/>
          <w:numId w:val="16"/>
        </w:numPr>
      </w:pPr>
      <w:r w:rsidRPr="00745323">
        <w:t>They raise the concern using appropriate channels.</w:t>
      </w:r>
    </w:p>
    <w:p w14:paraId="03853981" w14:textId="77777777" w:rsidR="00745323" w:rsidRPr="00745323" w:rsidRDefault="00745323" w:rsidP="00745323">
      <w:r w:rsidRPr="00745323">
        <w:t>Any councillor, employee, or volunteer who victimises a whistleblower may face disciplinary or legal action.</w:t>
      </w:r>
    </w:p>
    <w:p w14:paraId="28FBC3DC" w14:textId="77777777" w:rsidR="00745323" w:rsidRPr="00745323" w:rsidRDefault="00745323" w:rsidP="00745323">
      <w:r w:rsidRPr="00745323">
        <w:pict w14:anchorId="57A57509">
          <v:rect id="_x0000_i1085" style="width:0;height:1.5pt" o:hralign="center" o:hrstd="t" o:hr="t" fillcolor="#a0a0a0" stroked="f"/>
        </w:pict>
      </w:r>
    </w:p>
    <w:p w14:paraId="5D959906" w14:textId="77777777" w:rsidR="00745323" w:rsidRPr="00745323" w:rsidRDefault="00745323" w:rsidP="00745323">
      <w:pPr>
        <w:rPr>
          <w:b/>
          <w:bCs/>
        </w:rPr>
      </w:pPr>
      <w:r w:rsidRPr="00745323">
        <w:rPr>
          <w:b/>
          <w:bCs/>
        </w:rPr>
        <w:t>8. How the Council Will Respond</w:t>
      </w:r>
    </w:p>
    <w:p w14:paraId="4F1C6DAB" w14:textId="77777777" w:rsidR="00745323" w:rsidRPr="00745323" w:rsidRDefault="00745323" w:rsidP="00745323">
      <w:r w:rsidRPr="00745323">
        <w:t>Upon receiving a concern:</w:t>
      </w:r>
    </w:p>
    <w:p w14:paraId="36D39F39" w14:textId="77777777" w:rsidR="00745323" w:rsidRDefault="00745323" w:rsidP="00745323">
      <w:pPr>
        <w:pStyle w:val="ListParagraph"/>
        <w:numPr>
          <w:ilvl w:val="0"/>
          <w:numId w:val="19"/>
        </w:numPr>
      </w:pPr>
      <w:r w:rsidRPr="00745323">
        <w:t>Acknowledgement will be provided within 10 working days.</w:t>
      </w:r>
    </w:p>
    <w:p w14:paraId="40D9116C" w14:textId="77777777" w:rsidR="00745323" w:rsidRDefault="00745323" w:rsidP="00745323">
      <w:pPr>
        <w:pStyle w:val="ListParagraph"/>
      </w:pPr>
    </w:p>
    <w:p w14:paraId="208E15D3" w14:textId="31998D7F" w:rsidR="00745323" w:rsidRDefault="00745323" w:rsidP="00745323">
      <w:pPr>
        <w:pStyle w:val="ListParagraph"/>
        <w:numPr>
          <w:ilvl w:val="0"/>
          <w:numId w:val="19"/>
        </w:numPr>
      </w:pPr>
      <w:r w:rsidRPr="00745323">
        <w:t>The Clerk, Chair, or Vice Chair will conduct a preliminary assessment.</w:t>
      </w:r>
    </w:p>
    <w:p w14:paraId="60BB760D" w14:textId="77777777" w:rsidR="00745323" w:rsidRDefault="00745323" w:rsidP="00745323">
      <w:pPr>
        <w:pStyle w:val="ListParagraph"/>
      </w:pPr>
    </w:p>
    <w:p w14:paraId="1058DF69" w14:textId="77777777" w:rsidR="00745323" w:rsidRPr="00745323" w:rsidRDefault="00745323" w:rsidP="00745323">
      <w:pPr>
        <w:pStyle w:val="ListParagraph"/>
        <w:numPr>
          <w:ilvl w:val="0"/>
          <w:numId w:val="19"/>
        </w:numPr>
      </w:pPr>
      <w:r w:rsidRPr="00745323">
        <w:t>An appropriate course of action will be agreed, which may include:</w:t>
      </w:r>
    </w:p>
    <w:p w14:paraId="3C7F832E" w14:textId="77777777" w:rsidR="00745323" w:rsidRPr="00745323" w:rsidRDefault="00745323" w:rsidP="00745323">
      <w:pPr>
        <w:numPr>
          <w:ilvl w:val="1"/>
          <w:numId w:val="20"/>
        </w:numPr>
      </w:pPr>
      <w:r w:rsidRPr="00745323">
        <w:t>Internal investigation</w:t>
      </w:r>
    </w:p>
    <w:p w14:paraId="02D852DB" w14:textId="77777777" w:rsidR="00745323" w:rsidRPr="00745323" w:rsidRDefault="00745323" w:rsidP="00745323">
      <w:pPr>
        <w:numPr>
          <w:ilvl w:val="1"/>
          <w:numId w:val="20"/>
        </w:numPr>
      </w:pPr>
      <w:r w:rsidRPr="00745323">
        <w:t>Referral to external bodies</w:t>
      </w:r>
    </w:p>
    <w:p w14:paraId="3FEF588D" w14:textId="77777777" w:rsidR="00745323" w:rsidRPr="00745323" w:rsidRDefault="00745323" w:rsidP="00745323">
      <w:pPr>
        <w:numPr>
          <w:ilvl w:val="1"/>
          <w:numId w:val="20"/>
        </w:numPr>
      </w:pPr>
      <w:r w:rsidRPr="00745323">
        <w:t>Independent review</w:t>
      </w:r>
    </w:p>
    <w:p w14:paraId="5C24ED85" w14:textId="77777777" w:rsidR="00745323" w:rsidRPr="00745323" w:rsidRDefault="00745323" w:rsidP="00745323">
      <w:pPr>
        <w:numPr>
          <w:ilvl w:val="1"/>
          <w:numId w:val="20"/>
        </w:numPr>
      </w:pPr>
      <w:r w:rsidRPr="00745323">
        <w:t>Disciplinary action</w:t>
      </w:r>
    </w:p>
    <w:p w14:paraId="0FB8DF10" w14:textId="77777777" w:rsidR="00745323" w:rsidRPr="00745323" w:rsidRDefault="00745323" w:rsidP="00745323">
      <w:pPr>
        <w:numPr>
          <w:ilvl w:val="1"/>
          <w:numId w:val="20"/>
        </w:numPr>
      </w:pPr>
      <w:r w:rsidRPr="00745323">
        <w:t>Reporting to the Police or statutory regulators</w:t>
      </w:r>
    </w:p>
    <w:p w14:paraId="425210D3" w14:textId="77777777" w:rsidR="00745323" w:rsidRDefault="00745323" w:rsidP="00745323">
      <w:pPr>
        <w:pStyle w:val="ListParagraph"/>
        <w:numPr>
          <w:ilvl w:val="0"/>
          <w:numId w:val="19"/>
        </w:numPr>
      </w:pPr>
      <w:r w:rsidRPr="00745323">
        <w:t>The whistleblower will be kept informed (unless doing so would compromise legal or investigative processes).</w:t>
      </w:r>
    </w:p>
    <w:p w14:paraId="2F50BEE7" w14:textId="77777777" w:rsidR="00745323" w:rsidRPr="00745323" w:rsidRDefault="00745323" w:rsidP="00745323">
      <w:pPr>
        <w:pStyle w:val="ListParagraph"/>
      </w:pPr>
    </w:p>
    <w:p w14:paraId="615C4857" w14:textId="77777777" w:rsidR="00745323" w:rsidRPr="00745323" w:rsidRDefault="00745323" w:rsidP="00745323">
      <w:pPr>
        <w:pStyle w:val="ListParagraph"/>
        <w:numPr>
          <w:ilvl w:val="0"/>
          <w:numId w:val="19"/>
        </w:numPr>
      </w:pPr>
      <w:r w:rsidRPr="00745323">
        <w:t>Records of concerns and actions will be retained securely.</w:t>
      </w:r>
    </w:p>
    <w:p w14:paraId="2C501BB5" w14:textId="77777777" w:rsidR="00745323" w:rsidRPr="00745323" w:rsidRDefault="00745323" w:rsidP="00745323">
      <w:r w:rsidRPr="00745323">
        <w:pict w14:anchorId="0187C319">
          <v:rect id="_x0000_i1086" style="width:0;height:1.5pt" o:hralign="center" o:hrstd="t" o:hr="t" fillcolor="#a0a0a0" stroked="f"/>
        </w:pict>
      </w:r>
    </w:p>
    <w:p w14:paraId="1843AA06" w14:textId="77777777" w:rsidR="00745323" w:rsidRPr="00745323" w:rsidRDefault="00745323" w:rsidP="00745323">
      <w:pPr>
        <w:rPr>
          <w:b/>
          <w:bCs/>
        </w:rPr>
      </w:pPr>
      <w:r w:rsidRPr="00745323">
        <w:rPr>
          <w:b/>
          <w:bCs/>
        </w:rPr>
        <w:t>9. Malicious or Vexatious Allegations</w:t>
      </w:r>
    </w:p>
    <w:p w14:paraId="08BAEFD0" w14:textId="77777777" w:rsidR="00745323" w:rsidRDefault="00745323" w:rsidP="00745323">
      <w:r w:rsidRPr="00745323">
        <w:t>Concerns raised in good faith will always be supported.</w:t>
      </w:r>
    </w:p>
    <w:p w14:paraId="76DE75A7" w14:textId="068EA980" w:rsidR="00745323" w:rsidRPr="00745323" w:rsidRDefault="00745323" w:rsidP="00745323">
      <w:r w:rsidRPr="00745323">
        <w:t>However, deliberately false, malicious, or vexatious allegations may result in:</w:t>
      </w:r>
    </w:p>
    <w:p w14:paraId="4F5480D4" w14:textId="77777777" w:rsidR="00745323" w:rsidRPr="00745323" w:rsidRDefault="00745323" w:rsidP="00745323">
      <w:pPr>
        <w:numPr>
          <w:ilvl w:val="0"/>
          <w:numId w:val="18"/>
        </w:numPr>
      </w:pPr>
      <w:r w:rsidRPr="00745323">
        <w:t>Disciplinary action (for employees)</w:t>
      </w:r>
    </w:p>
    <w:p w14:paraId="77DF13E9" w14:textId="77777777" w:rsidR="00745323" w:rsidRPr="00745323" w:rsidRDefault="00745323" w:rsidP="00745323">
      <w:pPr>
        <w:numPr>
          <w:ilvl w:val="0"/>
          <w:numId w:val="18"/>
        </w:numPr>
      </w:pPr>
      <w:r w:rsidRPr="00745323">
        <w:t>Referral under the Code of Conduct (for councillors)</w:t>
      </w:r>
    </w:p>
    <w:p w14:paraId="440BDC1D" w14:textId="77777777" w:rsidR="00745323" w:rsidRPr="00745323" w:rsidRDefault="00745323" w:rsidP="00745323">
      <w:r w:rsidRPr="00745323">
        <w:pict w14:anchorId="50544DFA">
          <v:rect id="_x0000_i1087" style="width:0;height:1.5pt" o:hralign="center" o:hrstd="t" o:hr="t" fillcolor="#a0a0a0" stroked="f"/>
        </w:pict>
      </w:r>
    </w:p>
    <w:p w14:paraId="160811CA" w14:textId="77777777" w:rsidR="00745323" w:rsidRPr="00745323" w:rsidRDefault="00745323" w:rsidP="00745323">
      <w:pPr>
        <w:rPr>
          <w:b/>
          <w:bCs/>
        </w:rPr>
      </w:pPr>
      <w:r w:rsidRPr="00745323">
        <w:rPr>
          <w:b/>
          <w:bCs/>
        </w:rPr>
        <w:t>10. Review of Policy</w:t>
      </w:r>
    </w:p>
    <w:p w14:paraId="4E9F3046" w14:textId="77777777" w:rsidR="00745323" w:rsidRDefault="00745323" w:rsidP="00745323">
      <w:r w:rsidRPr="00745323">
        <w:lastRenderedPageBreak/>
        <w:t>This policy will be reviewed every two years, or earlier if required by changes in legislation or NALC/WCALC guidance.</w:t>
      </w:r>
    </w:p>
    <w:p w14:paraId="2D88932B" w14:textId="77777777" w:rsidR="00745323" w:rsidRPr="00341662" w:rsidRDefault="00745323" w:rsidP="00745323">
      <w:r>
        <w:pict w14:anchorId="5814B5A0">
          <v:rect id="_x0000_i1098" style="width:0;height:1.5pt" o:hralign="center" o:hrstd="t" o:hr="t" fillcolor="#a0a0a0" stroked="f"/>
        </w:pict>
      </w:r>
    </w:p>
    <w:p w14:paraId="6B829C81" w14:textId="77777777" w:rsidR="00745323" w:rsidRPr="00341662" w:rsidRDefault="00745323" w:rsidP="00745323">
      <w:r w:rsidRPr="00341662">
        <w:rPr>
          <w:b/>
          <w:bCs/>
        </w:rPr>
        <w:t>Approved by:</w:t>
      </w:r>
      <w:r w:rsidRPr="00341662">
        <w:t xml:space="preserve"> South Littleton Parish Council</w:t>
      </w:r>
      <w:r w:rsidRPr="00341662">
        <w:br/>
      </w:r>
      <w:r w:rsidRPr="00341662">
        <w:rPr>
          <w:b/>
          <w:bCs/>
        </w:rPr>
        <w:t>Date adopted:</w:t>
      </w:r>
      <w:r w:rsidRPr="00341662">
        <w:t xml:space="preserve"> </w:t>
      </w:r>
      <w:r w:rsidRPr="00341662">
        <w:br/>
      </w:r>
      <w:r w:rsidRPr="00341662">
        <w:rPr>
          <w:b/>
          <w:bCs/>
        </w:rPr>
        <w:t>Next review due:</w:t>
      </w:r>
    </w:p>
    <w:p w14:paraId="6E83F9D8" w14:textId="77777777" w:rsidR="00745323" w:rsidRPr="00745323" w:rsidRDefault="00745323" w:rsidP="00745323"/>
    <w:p w14:paraId="1A9E9560" w14:textId="77777777" w:rsidR="008C7CC0" w:rsidRPr="000A11E2" w:rsidRDefault="008C7CC0"/>
    <w:sectPr w:rsidR="008C7CC0" w:rsidRPr="000A1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3CC"/>
    <w:multiLevelType w:val="multilevel"/>
    <w:tmpl w:val="0C8C9AB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E7FB7"/>
    <w:multiLevelType w:val="multilevel"/>
    <w:tmpl w:val="DD8E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46F82"/>
    <w:multiLevelType w:val="multilevel"/>
    <w:tmpl w:val="5F8A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634B6"/>
    <w:multiLevelType w:val="multilevel"/>
    <w:tmpl w:val="F25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A27A8"/>
    <w:multiLevelType w:val="multilevel"/>
    <w:tmpl w:val="785038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C6103"/>
    <w:multiLevelType w:val="multilevel"/>
    <w:tmpl w:val="C1CEB4E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E2DA0"/>
    <w:multiLevelType w:val="hybridMultilevel"/>
    <w:tmpl w:val="37AAC05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EB4757"/>
    <w:multiLevelType w:val="multilevel"/>
    <w:tmpl w:val="54E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B512F"/>
    <w:multiLevelType w:val="hybridMultilevel"/>
    <w:tmpl w:val="7986A0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8A2046"/>
    <w:multiLevelType w:val="multilevel"/>
    <w:tmpl w:val="CA8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2E4370"/>
    <w:multiLevelType w:val="multilevel"/>
    <w:tmpl w:val="DC26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9260D"/>
    <w:multiLevelType w:val="multilevel"/>
    <w:tmpl w:val="050C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85829"/>
    <w:multiLevelType w:val="multilevel"/>
    <w:tmpl w:val="D67C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64B70"/>
    <w:multiLevelType w:val="multilevel"/>
    <w:tmpl w:val="5F0A9A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F65EE"/>
    <w:multiLevelType w:val="multilevel"/>
    <w:tmpl w:val="3E583D4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17359"/>
    <w:multiLevelType w:val="multilevel"/>
    <w:tmpl w:val="FC76EAD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76AEA"/>
    <w:multiLevelType w:val="multilevel"/>
    <w:tmpl w:val="86EA52E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020B8"/>
    <w:multiLevelType w:val="multilevel"/>
    <w:tmpl w:val="63B2FD0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511375"/>
    <w:multiLevelType w:val="multilevel"/>
    <w:tmpl w:val="6F4C1ED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CE6CB0"/>
    <w:multiLevelType w:val="multilevel"/>
    <w:tmpl w:val="D1AEA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4822586">
    <w:abstractNumId w:val="2"/>
  </w:num>
  <w:num w:numId="2" w16cid:durableId="1164007772">
    <w:abstractNumId w:val="11"/>
  </w:num>
  <w:num w:numId="3" w16cid:durableId="2127386137">
    <w:abstractNumId w:val="10"/>
  </w:num>
  <w:num w:numId="4" w16cid:durableId="52822167">
    <w:abstractNumId w:val="7"/>
  </w:num>
  <w:num w:numId="5" w16cid:durableId="317224872">
    <w:abstractNumId w:val="12"/>
  </w:num>
  <w:num w:numId="6" w16cid:durableId="1742370217">
    <w:abstractNumId w:val="9"/>
  </w:num>
  <w:num w:numId="7" w16cid:durableId="2125687404">
    <w:abstractNumId w:val="3"/>
  </w:num>
  <w:num w:numId="8" w16cid:durableId="255600645">
    <w:abstractNumId w:val="19"/>
  </w:num>
  <w:num w:numId="9" w16cid:durableId="1293706057">
    <w:abstractNumId w:val="1"/>
  </w:num>
  <w:num w:numId="10" w16cid:durableId="1603221188">
    <w:abstractNumId w:val="16"/>
  </w:num>
  <w:num w:numId="11" w16cid:durableId="2062753636">
    <w:abstractNumId w:val="15"/>
  </w:num>
  <w:num w:numId="12" w16cid:durableId="384643810">
    <w:abstractNumId w:val="4"/>
  </w:num>
  <w:num w:numId="13" w16cid:durableId="422072819">
    <w:abstractNumId w:val="14"/>
  </w:num>
  <w:num w:numId="14" w16cid:durableId="419524608">
    <w:abstractNumId w:val="0"/>
  </w:num>
  <w:num w:numId="15" w16cid:durableId="1131049749">
    <w:abstractNumId w:val="13"/>
  </w:num>
  <w:num w:numId="16" w16cid:durableId="1963341973">
    <w:abstractNumId w:val="5"/>
  </w:num>
  <w:num w:numId="17" w16cid:durableId="493835814">
    <w:abstractNumId w:val="18"/>
  </w:num>
  <w:num w:numId="18" w16cid:durableId="1886601768">
    <w:abstractNumId w:val="17"/>
  </w:num>
  <w:num w:numId="19" w16cid:durableId="2140372578">
    <w:abstractNumId w:val="8"/>
  </w:num>
  <w:num w:numId="20" w16cid:durableId="34890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23"/>
    <w:rsid w:val="000A11E2"/>
    <w:rsid w:val="0023080E"/>
    <w:rsid w:val="00745323"/>
    <w:rsid w:val="008B4CFC"/>
    <w:rsid w:val="008C7CC0"/>
    <w:rsid w:val="00A74294"/>
    <w:rsid w:val="00BD0E8E"/>
    <w:rsid w:val="00C1186E"/>
    <w:rsid w:val="00C264D4"/>
    <w:rsid w:val="00FB3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2E21"/>
  <w15:chartTrackingRefBased/>
  <w15:docId w15:val="{59989427-955B-48DD-8BCD-02374954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8E"/>
  </w:style>
  <w:style w:type="paragraph" w:styleId="Heading1">
    <w:name w:val="heading 1"/>
    <w:basedOn w:val="Normal"/>
    <w:next w:val="Normal"/>
    <w:link w:val="Heading1Char"/>
    <w:uiPriority w:val="9"/>
    <w:qFormat/>
    <w:rsid w:val="00BD0E8E"/>
    <w:pPr>
      <w:keepNext/>
      <w:keepLines/>
      <w:spacing w:before="360" w:after="80"/>
      <w:outlineLvl w:val="0"/>
    </w:pPr>
    <w:rPr>
      <w:rFonts w:asciiTheme="majorHAnsi" w:eastAsiaTheme="majorEastAsia" w:hAnsiTheme="majorHAnsi" w:cstheme="majorBidi"/>
      <w:color w:val="1D2E49" w:themeColor="accent1" w:themeShade="BF"/>
      <w:sz w:val="40"/>
      <w:szCs w:val="40"/>
    </w:rPr>
  </w:style>
  <w:style w:type="paragraph" w:styleId="Heading2">
    <w:name w:val="heading 2"/>
    <w:basedOn w:val="Normal"/>
    <w:next w:val="Normal"/>
    <w:link w:val="Heading2Char"/>
    <w:uiPriority w:val="9"/>
    <w:semiHidden/>
    <w:unhideWhenUsed/>
    <w:qFormat/>
    <w:rsid w:val="00BD0E8E"/>
    <w:pPr>
      <w:keepNext/>
      <w:keepLines/>
      <w:spacing w:before="160" w:after="80"/>
      <w:outlineLvl w:val="1"/>
    </w:pPr>
    <w:rPr>
      <w:rFonts w:asciiTheme="majorHAnsi" w:eastAsiaTheme="majorEastAsia" w:hAnsiTheme="majorHAnsi" w:cstheme="majorBidi"/>
      <w:color w:val="1D2E49" w:themeColor="accent1" w:themeShade="BF"/>
      <w:sz w:val="32"/>
      <w:szCs w:val="32"/>
    </w:rPr>
  </w:style>
  <w:style w:type="paragraph" w:styleId="Heading3">
    <w:name w:val="heading 3"/>
    <w:basedOn w:val="Normal"/>
    <w:next w:val="Normal"/>
    <w:link w:val="Heading3Char"/>
    <w:uiPriority w:val="9"/>
    <w:semiHidden/>
    <w:unhideWhenUsed/>
    <w:qFormat/>
    <w:rsid w:val="00BD0E8E"/>
    <w:pPr>
      <w:keepNext/>
      <w:keepLines/>
      <w:spacing w:before="160" w:after="80"/>
      <w:outlineLvl w:val="2"/>
    </w:pPr>
    <w:rPr>
      <w:rFonts w:asciiTheme="minorHAnsi" w:eastAsiaTheme="majorEastAsia" w:hAnsiTheme="minorHAnsi" w:cstheme="majorBidi"/>
      <w:color w:val="1D2E49" w:themeColor="accent1" w:themeShade="BF"/>
      <w:sz w:val="28"/>
      <w:szCs w:val="28"/>
    </w:rPr>
  </w:style>
  <w:style w:type="paragraph" w:styleId="Heading4">
    <w:name w:val="heading 4"/>
    <w:basedOn w:val="Normal"/>
    <w:next w:val="Normal"/>
    <w:link w:val="Heading4Char"/>
    <w:uiPriority w:val="9"/>
    <w:semiHidden/>
    <w:unhideWhenUsed/>
    <w:qFormat/>
    <w:rsid w:val="00BD0E8E"/>
    <w:pPr>
      <w:keepNext/>
      <w:keepLines/>
      <w:spacing w:before="80" w:after="40"/>
      <w:outlineLvl w:val="3"/>
    </w:pPr>
    <w:rPr>
      <w:rFonts w:asciiTheme="minorHAnsi" w:eastAsiaTheme="majorEastAsia" w:hAnsiTheme="minorHAnsi" w:cstheme="majorBidi"/>
      <w:i/>
      <w:iCs/>
      <w:color w:val="1D2E49" w:themeColor="accent1" w:themeShade="BF"/>
    </w:rPr>
  </w:style>
  <w:style w:type="paragraph" w:styleId="Heading5">
    <w:name w:val="heading 5"/>
    <w:basedOn w:val="Normal"/>
    <w:next w:val="Normal"/>
    <w:link w:val="Heading5Char"/>
    <w:uiPriority w:val="9"/>
    <w:semiHidden/>
    <w:unhideWhenUsed/>
    <w:qFormat/>
    <w:rsid w:val="00BD0E8E"/>
    <w:pPr>
      <w:keepNext/>
      <w:keepLines/>
      <w:spacing w:before="80" w:after="40"/>
      <w:outlineLvl w:val="4"/>
    </w:pPr>
    <w:rPr>
      <w:rFonts w:asciiTheme="minorHAnsi" w:eastAsiaTheme="majorEastAsia" w:hAnsiTheme="minorHAnsi" w:cstheme="majorBidi"/>
      <w:color w:val="1D2E49" w:themeColor="accent1" w:themeShade="BF"/>
    </w:rPr>
  </w:style>
  <w:style w:type="paragraph" w:styleId="Heading6">
    <w:name w:val="heading 6"/>
    <w:basedOn w:val="Normal"/>
    <w:next w:val="Normal"/>
    <w:link w:val="Heading6Char"/>
    <w:uiPriority w:val="9"/>
    <w:semiHidden/>
    <w:unhideWhenUsed/>
    <w:qFormat/>
    <w:rsid w:val="00BD0E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0E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0E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0E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E8E"/>
    <w:rPr>
      <w:rFonts w:asciiTheme="majorHAnsi" w:eastAsiaTheme="majorEastAsia" w:hAnsiTheme="majorHAnsi" w:cstheme="majorBidi"/>
      <w:color w:val="1D2E49" w:themeColor="accent1" w:themeShade="BF"/>
      <w:sz w:val="40"/>
      <w:szCs w:val="40"/>
    </w:rPr>
  </w:style>
  <w:style w:type="character" w:customStyle="1" w:styleId="Heading2Char">
    <w:name w:val="Heading 2 Char"/>
    <w:basedOn w:val="DefaultParagraphFont"/>
    <w:link w:val="Heading2"/>
    <w:uiPriority w:val="9"/>
    <w:semiHidden/>
    <w:rsid w:val="00BD0E8E"/>
    <w:rPr>
      <w:rFonts w:asciiTheme="majorHAnsi" w:eastAsiaTheme="majorEastAsia" w:hAnsiTheme="majorHAnsi" w:cstheme="majorBidi"/>
      <w:color w:val="1D2E49" w:themeColor="accent1" w:themeShade="BF"/>
      <w:sz w:val="32"/>
      <w:szCs w:val="32"/>
    </w:rPr>
  </w:style>
  <w:style w:type="character" w:customStyle="1" w:styleId="Heading3Char">
    <w:name w:val="Heading 3 Char"/>
    <w:basedOn w:val="DefaultParagraphFont"/>
    <w:link w:val="Heading3"/>
    <w:uiPriority w:val="9"/>
    <w:semiHidden/>
    <w:rsid w:val="00BD0E8E"/>
    <w:rPr>
      <w:rFonts w:asciiTheme="minorHAnsi" w:eastAsiaTheme="majorEastAsia" w:hAnsiTheme="minorHAnsi" w:cstheme="majorBidi"/>
      <w:color w:val="1D2E49" w:themeColor="accent1" w:themeShade="BF"/>
      <w:sz w:val="28"/>
      <w:szCs w:val="28"/>
    </w:rPr>
  </w:style>
  <w:style w:type="character" w:customStyle="1" w:styleId="Heading4Char">
    <w:name w:val="Heading 4 Char"/>
    <w:basedOn w:val="DefaultParagraphFont"/>
    <w:link w:val="Heading4"/>
    <w:uiPriority w:val="9"/>
    <w:semiHidden/>
    <w:rsid w:val="00BD0E8E"/>
    <w:rPr>
      <w:rFonts w:asciiTheme="minorHAnsi" w:eastAsiaTheme="majorEastAsia" w:hAnsiTheme="minorHAnsi" w:cstheme="majorBidi"/>
      <w:i/>
      <w:iCs/>
      <w:color w:val="1D2E49" w:themeColor="accent1" w:themeShade="BF"/>
    </w:rPr>
  </w:style>
  <w:style w:type="character" w:customStyle="1" w:styleId="Heading5Char">
    <w:name w:val="Heading 5 Char"/>
    <w:basedOn w:val="DefaultParagraphFont"/>
    <w:link w:val="Heading5"/>
    <w:uiPriority w:val="9"/>
    <w:semiHidden/>
    <w:rsid w:val="00BD0E8E"/>
    <w:rPr>
      <w:rFonts w:asciiTheme="minorHAnsi" w:eastAsiaTheme="majorEastAsia" w:hAnsiTheme="minorHAnsi" w:cstheme="majorBidi"/>
      <w:color w:val="1D2E49" w:themeColor="accent1" w:themeShade="BF"/>
    </w:rPr>
  </w:style>
  <w:style w:type="character" w:customStyle="1" w:styleId="Heading6Char">
    <w:name w:val="Heading 6 Char"/>
    <w:basedOn w:val="DefaultParagraphFont"/>
    <w:link w:val="Heading6"/>
    <w:uiPriority w:val="9"/>
    <w:semiHidden/>
    <w:rsid w:val="00BD0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0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0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0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E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E8E"/>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BD0E8E"/>
    <w:pPr>
      <w:ind w:left="720"/>
      <w:contextualSpacing/>
    </w:pPr>
  </w:style>
  <w:style w:type="paragraph" w:styleId="Quote">
    <w:name w:val="Quote"/>
    <w:basedOn w:val="Normal"/>
    <w:next w:val="Normal"/>
    <w:link w:val="QuoteChar"/>
    <w:uiPriority w:val="29"/>
    <w:qFormat/>
    <w:rsid w:val="00BD0E8E"/>
    <w:pPr>
      <w:spacing w:before="160"/>
      <w:jc w:val="center"/>
    </w:pPr>
    <w:rPr>
      <w:i/>
      <w:iCs/>
      <w:color w:val="404040" w:themeColor="text1" w:themeTint="BF"/>
    </w:rPr>
  </w:style>
  <w:style w:type="character" w:customStyle="1" w:styleId="QuoteChar">
    <w:name w:val="Quote Char"/>
    <w:basedOn w:val="DefaultParagraphFont"/>
    <w:link w:val="Quote"/>
    <w:uiPriority w:val="29"/>
    <w:rsid w:val="00BD0E8E"/>
    <w:rPr>
      <w:i/>
      <w:iCs/>
      <w:color w:val="404040" w:themeColor="text1" w:themeTint="BF"/>
    </w:rPr>
  </w:style>
  <w:style w:type="paragraph" w:styleId="IntenseQuote">
    <w:name w:val="Intense Quote"/>
    <w:basedOn w:val="Normal"/>
    <w:next w:val="Normal"/>
    <w:link w:val="IntenseQuoteChar"/>
    <w:uiPriority w:val="30"/>
    <w:qFormat/>
    <w:rsid w:val="00BD0E8E"/>
    <w:pPr>
      <w:pBdr>
        <w:top w:val="single" w:sz="4" w:space="10" w:color="1D2E49" w:themeColor="accent1" w:themeShade="BF"/>
        <w:bottom w:val="single" w:sz="4" w:space="10" w:color="1D2E49" w:themeColor="accent1" w:themeShade="BF"/>
      </w:pBdr>
      <w:spacing w:before="360" w:after="360"/>
      <w:ind w:left="864" w:right="864"/>
      <w:jc w:val="center"/>
    </w:pPr>
    <w:rPr>
      <w:i/>
      <w:iCs/>
      <w:color w:val="1D2E49" w:themeColor="accent1" w:themeShade="BF"/>
    </w:rPr>
  </w:style>
  <w:style w:type="character" w:customStyle="1" w:styleId="IntenseQuoteChar">
    <w:name w:val="Intense Quote Char"/>
    <w:basedOn w:val="DefaultParagraphFont"/>
    <w:link w:val="IntenseQuote"/>
    <w:uiPriority w:val="30"/>
    <w:rsid w:val="00BD0E8E"/>
    <w:rPr>
      <w:i/>
      <w:iCs/>
      <w:color w:val="1D2E49" w:themeColor="accent1" w:themeShade="BF"/>
    </w:rPr>
  </w:style>
  <w:style w:type="character" w:styleId="IntenseEmphasis">
    <w:name w:val="Intense Emphasis"/>
    <w:basedOn w:val="DefaultParagraphFont"/>
    <w:uiPriority w:val="21"/>
    <w:qFormat/>
    <w:rsid w:val="00BD0E8E"/>
    <w:rPr>
      <w:i/>
      <w:iCs/>
      <w:color w:val="1D2E49" w:themeColor="accent1" w:themeShade="BF"/>
    </w:rPr>
  </w:style>
  <w:style w:type="character" w:styleId="IntenseReference">
    <w:name w:val="Intense Reference"/>
    <w:basedOn w:val="DefaultParagraphFont"/>
    <w:uiPriority w:val="32"/>
    <w:qFormat/>
    <w:rsid w:val="00BD0E8E"/>
    <w:rPr>
      <w:b/>
      <w:bCs/>
      <w:smallCaps/>
      <w:color w:val="1D2E49"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ISBranding">
  <a:themeElements>
    <a:clrScheme name="AIS Branding">
      <a:dk1>
        <a:sysClr val="windowText" lastClr="000000"/>
      </a:dk1>
      <a:lt1>
        <a:sysClr val="window" lastClr="FFFFFF"/>
      </a:lt1>
      <a:dk2>
        <a:srgbClr val="356E71"/>
      </a:dk2>
      <a:lt2>
        <a:srgbClr val="64C8AA"/>
      </a:lt2>
      <a:accent1>
        <a:srgbClr val="273E62"/>
      </a:accent1>
      <a:accent2>
        <a:srgbClr val="FF8939"/>
      </a:accent2>
      <a:accent3>
        <a:srgbClr val="7BBCB1"/>
      </a:accent3>
      <a:accent4>
        <a:srgbClr val="DD3848"/>
      </a:accent4>
      <a:accent5>
        <a:srgbClr val="EB7C96"/>
      </a:accent5>
      <a:accent6>
        <a:srgbClr val="F4CE0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701</Words>
  <Characters>4037</Characters>
  <Application>Microsoft Office Word</Application>
  <DocSecurity>0</DocSecurity>
  <Lines>103</Lines>
  <Paragraphs>89</Paragraphs>
  <ScaleCrop>false</ScaleCrop>
  <Company>COMPANYTEST</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Mack</dc:creator>
  <cp:keywords/>
  <dc:description/>
  <cp:lastModifiedBy>Shannon Mack</cp:lastModifiedBy>
  <cp:revision>1</cp:revision>
  <dcterms:created xsi:type="dcterms:W3CDTF">2025-11-19T12:30:00Z</dcterms:created>
  <dcterms:modified xsi:type="dcterms:W3CDTF">2025-11-19T12:35:00Z</dcterms:modified>
</cp:coreProperties>
</file>