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B493" w14:textId="77777777" w:rsidR="00B054F8" w:rsidRDefault="00000000">
      <w:pPr>
        <w:pStyle w:val="Title"/>
      </w:pPr>
      <w:r>
        <w:t>June</w:t>
      </w:r>
      <w:r>
        <w:rPr>
          <w:spacing w:val="-7"/>
        </w:rPr>
        <w:t xml:space="preserve"> </w:t>
      </w:r>
      <w:r>
        <w:t>2026</w:t>
      </w:r>
      <w:r>
        <w:rPr>
          <w:spacing w:val="-6"/>
        </w:rPr>
        <w:t xml:space="preserve"> </w:t>
      </w:r>
      <w:r>
        <w:t>Report</w:t>
      </w:r>
      <w:r>
        <w:rPr>
          <w:spacing w:val="-7"/>
        </w:rPr>
        <w:t xml:space="preserve"> </w:t>
      </w:r>
      <w:r>
        <w:t>from</w:t>
      </w:r>
      <w:r>
        <w:rPr>
          <w:spacing w:val="-6"/>
        </w:rPr>
        <w:t xml:space="preserve"> </w:t>
      </w:r>
      <w:r>
        <w:t>Wychavon</w:t>
      </w:r>
      <w:r>
        <w:rPr>
          <w:spacing w:val="-7"/>
        </w:rPr>
        <w:t xml:space="preserve"> </w:t>
      </w:r>
      <w:r>
        <w:t>District</w:t>
      </w:r>
      <w:r>
        <w:rPr>
          <w:spacing w:val="-6"/>
        </w:rPr>
        <w:t xml:space="preserve"> </w:t>
      </w:r>
      <w:r>
        <w:t>Councillor</w:t>
      </w:r>
      <w:r>
        <w:rPr>
          <w:spacing w:val="-7"/>
        </w:rPr>
        <w:t xml:space="preserve"> </w:t>
      </w:r>
      <w:r>
        <w:t>Judith</w:t>
      </w:r>
      <w:r>
        <w:rPr>
          <w:spacing w:val="-6"/>
        </w:rPr>
        <w:t xml:space="preserve"> </w:t>
      </w:r>
      <w:r>
        <w:t>Ciotti</w:t>
      </w:r>
      <w:r>
        <w:rPr>
          <w:spacing w:val="-7"/>
        </w:rPr>
        <w:t xml:space="preserve"> </w:t>
      </w:r>
      <w:r>
        <w:t>to</w:t>
      </w:r>
      <w:r>
        <w:rPr>
          <w:spacing w:val="-6"/>
        </w:rPr>
        <w:t xml:space="preserve"> </w:t>
      </w:r>
      <w:r>
        <w:t>Parish</w:t>
      </w:r>
      <w:r>
        <w:rPr>
          <w:spacing w:val="-7"/>
        </w:rPr>
        <w:t xml:space="preserve"> </w:t>
      </w:r>
      <w:r>
        <w:rPr>
          <w:spacing w:val="-2"/>
        </w:rPr>
        <w:t>Councils.</w:t>
      </w:r>
    </w:p>
    <w:p w14:paraId="32413548" w14:textId="77777777" w:rsidR="00B054F8" w:rsidRDefault="00B054F8">
      <w:pPr>
        <w:pStyle w:val="BodyText"/>
        <w:spacing w:before="18"/>
        <w:rPr>
          <w:rFonts w:ascii="Arial"/>
          <w:b/>
        </w:rPr>
      </w:pPr>
    </w:p>
    <w:p w14:paraId="0AA5E8BF" w14:textId="77777777" w:rsidR="00B054F8" w:rsidRDefault="00000000">
      <w:pPr>
        <w:pStyle w:val="ListParagraph"/>
        <w:numPr>
          <w:ilvl w:val="0"/>
          <w:numId w:val="1"/>
        </w:numPr>
        <w:tabs>
          <w:tab w:val="left" w:pos="321"/>
        </w:tabs>
        <w:spacing w:line="235" w:lineRule="auto"/>
      </w:pPr>
      <w:r>
        <w:rPr>
          <w:rFonts w:ascii="Arial" w:hAnsi="Arial"/>
          <w:b/>
        </w:rPr>
        <w:t xml:space="preserve">Wychavon Growth Fund: </w:t>
      </w:r>
      <w:r>
        <w:t xml:space="preserve">this £15,000 match-funded initiative has been launched to drive productivity and jobs in SMEs in towns and rural areas of the district. For information see </w:t>
      </w:r>
      <w:hyperlink r:id="rId5">
        <w:r>
          <w:rPr>
            <w:rFonts w:ascii="Arial" w:hAnsi="Arial"/>
            <w:b/>
            <w:u w:val="single"/>
          </w:rPr>
          <w:t>www.wychavon.gov.uk/growth</w:t>
        </w:r>
      </w:hyperlink>
      <w:r>
        <w:rPr>
          <w:rFonts w:ascii="Arial" w:hAnsi="Arial"/>
          <w:b/>
        </w:rPr>
        <w:t xml:space="preserve"> </w:t>
      </w:r>
      <w:r>
        <w:t xml:space="preserve">. Enquiries to </w:t>
      </w:r>
      <w:hyperlink r:id="rId6">
        <w:r>
          <w:rPr>
            <w:rFonts w:ascii="Arial" w:hAnsi="Arial"/>
            <w:b/>
            <w:u w:val="single"/>
          </w:rPr>
          <w:t>growth@wychavon.gov.uk</w:t>
        </w:r>
      </w:hyperlink>
      <w:r>
        <w:rPr>
          <w:rFonts w:ascii="Arial" w:hAnsi="Arial"/>
          <w:b/>
        </w:rPr>
        <w:t xml:space="preserve"> </w:t>
      </w:r>
      <w:r>
        <w:t>. A separate Communities Grant is on its way.</w:t>
      </w:r>
    </w:p>
    <w:p w14:paraId="19DE95D8" w14:textId="77777777" w:rsidR="00B054F8" w:rsidRDefault="00000000">
      <w:pPr>
        <w:pStyle w:val="ListParagraph"/>
        <w:numPr>
          <w:ilvl w:val="0"/>
          <w:numId w:val="1"/>
        </w:numPr>
        <w:tabs>
          <w:tab w:val="left" w:pos="321"/>
        </w:tabs>
        <w:spacing w:before="249" w:line="235" w:lineRule="auto"/>
        <w:rPr>
          <w:rFonts w:ascii="Arial" w:hAnsi="Arial"/>
          <w:b/>
        </w:rPr>
      </w:pPr>
      <w:r>
        <w:rPr>
          <w:rFonts w:ascii="Arial" w:hAnsi="Arial"/>
          <w:b/>
        </w:rPr>
        <w:t>Places</w:t>
      </w:r>
      <w:r>
        <w:rPr>
          <w:rFonts w:ascii="Arial" w:hAnsi="Arial"/>
          <w:b/>
          <w:spacing w:val="-3"/>
        </w:rPr>
        <w:t xml:space="preserve"> </w:t>
      </w:r>
      <w:r>
        <w:rPr>
          <w:rFonts w:ascii="Arial" w:hAnsi="Arial"/>
          <w:b/>
        </w:rPr>
        <w:t>of</w:t>
      </w:r>
      <w:r>
        <w:rPr>
          <w:rFonts w:ascii="Arial" w:hAnsi="Arial"/>
          <w:b/>
          <w:spacing w:val="-3"/>
        </w:rPr>
        <w:t xml:space="preserve"> </w:t>
      </w:r>
      <w:r>
        <w:rPr>
          <w:rFonts w:ascii="Arial" w:hAnsi="Arial"/>
          <w:b/>
        </w:rPr>
        <w:t>Worship</w:t>
      </w:r>
      <w:r>
        <w:rPr>
          <w:rFonts w:ascii="Arial" w:hAnsi="Arial"/>
          <w:b/>
          <w:spacing w:val="-3"/>
        </w:rPr>
        <w:t xml:space="preserve"> </w:t>
      </w:r>
      <w:r>
        <w:rPr>
          <w:rFonts w:ascii="Arial" w:hAnsi="Arial"/>
          <w:b/>
        </w:rPr>
        <w:t>Renewal</w:t>
      </w:r>
      <w:r>
        <w:rPr>
          <w:rFonts w:ascii="Arial" w:hAnsi="Arial"/>
          <w:b/>
          <w:spacing w:val="-3"/>
        </w:rPr>
        <w:t xml:space="preserve"> </w:t>
      </w:r>
      <w:r>
        <w:rPr>
          <w:rFonts w:ascii="Arial" w:hAnsi="Arial"/>
          <w:b/>
        </w:rPr>
        <w:t>Fund</w:t>
      </w:r>
      <w:r>
        <w:rPr>
          <w:rFonts w:ascii="Arial" w:hAnsi="Arial"/>
          <w:b/>
          <w:spacing w:val="-3"/>
        </w:rPr>
        <w:t xml:space="preserve"> </w:t>
      </w:r>
      <w:r>
        <w:t>and</w:t>
      </w:r>
      <w:r>
        <w:rPr>
          <w:spacing w:val="-3"/>
        </w:rPr>
        <w:t xml:space="preserve"> </w:t>
      </w:r>
      <w:r>
        <w:rPr>
          <w:rFonts w:ascii="Arial" w:hAnsi="Arial"/>
          <w:b/>
        </w:rPr>
        <w:t>Heritage</w:t>
      </w:r>
      <w:r>
        <w:rPr>
          <w:rFonts w:ascii="Arial" w:hAnsi="Arial"/>
          <w:b/>
          <w:spacing w:val="-3"/>
        </w:rPr>
        <w:t xml:space="preserve"> </w:t>
      </w:r>
      <w:r>
        <w:rPr>
          <w:rFonts w:ascii="Arial" w:hAnsi="Arial"/>
          <w:b/>
        </w:rPr>
        <w:t>At</w:t>
      </w:r>
      <w:r>
        <w:rPr>
          <w:rFonts w:ascii="Arial" w:hAnsi="Arial"/>
          <w:b/>
          <w:spacing w:val="-3"/>
        </w:rPr>
        <w:t xml:space="preserve"> </w:t>
      </w:r>
      <w:r>
        <w:rPr>
          <w:rFonts w:ascii="Arial" w:hAnsi="Arial"/>
          <w:b/>
        </w:rPr>
        <w:t>Risk</w:t>
      </w:r>
      <w:r>
        <w:rPr>
          <w:rFonts w:ascii="Arial" w:hAnsi="Arial"/>
          <w:b/>
          <w:spacing w:val="-3"/>
        </w:rPr>
        <w:t xml:space="preserve"> </w:t>
      </w:r>
      <w:r>
        <w:rPr>
          <w:rFonts w:ascii="Arial" w:hAnsi="Arial"/>
          <w:b/>
        </w:rPr>
        <w:t>Capital</w:t>
      </w:r>
      <w:r>
        <w:rPr>
          <w:rFonts w:ascii="Arial" w:hAnsi="Arial"/>
          <w:b/>
          <w:spacing w:val="-3"/>
        </w:rPr>
        <w:t xml:space="preserve"> </w:t>
      </w:r>
      <w:r>
        <w:rPr>
          <w:rFonts w:ascii="Arial" w:hAnsi="Arial"/>
          <w:b/>
        </w:rPr>
        <w:t>Fund</w:t>
      </w:r>
      <w:r>
        <w:rPr>
          <w:rFonts w:ascii="Arial" w:hAnsi="Arial"/>
          <w:b/>
          <w:spacing w:val="-3"/>
        </w:rPr>
        <w:t xml:space="preserve"> </w:t>
      </w:r>
      <w:r>
        <w:rPr>
          <w:rFonts w:ascii="Arial" w:hAnsi="Arial"/>
          <w:b/>
        </w:rPr>
        <w:t>(HAR):</w:t>
      </w:r>
      <w:r>
        <w:rPr>
          <w:rFonts w:ascii="Arial" w:hAnsi="Arial"/>
          <w:b/>
          <w:spacing w:val="-3"/>
        </w:rPr>
        <w:t xml:space="preserve"> </w:t>
      </w:r>
      <w:r>
        <w:t>Historic</w:t>
      </w:r>
      <w:r>
        <w:rPr>
          <w:spacing w:val="-3"/>
        </w:rPr>
        <w:t xml:space="preserve"> </w:t>
      </w:r>
      <w:r>
        <w:t>England has opened 2 funds for applications funded by the Dept. of Culture Media &amp; Sport. The</w:t>
      </w:r>
      <w:r>
        <w:rPr>
          <w:spacing w:val="80"/>
        </w:rPr>
        <w:t xml:space="preserve"> </w:t>
      </w:r>
      <w:r>
        <w:t xml:space="preserve">deadlines for both are quite imminent however there will be another round later in the year. </w:t>
      </w:r>
      <w:hyperlink r:id="rId7">
        <w:r>
          <w:rPr>
            <w:rFonts w:ascii="Arial" w:hAnsi="Arial"/>
            <w:b/>
            <w:spacing w:val="-2"/>
            <w:u w:val="single"/>
          </w:rPr>
          <w:t>www.historicengland.org.uk</w:t>
        </w:r>
      </w:hyperlink>
    </w:p>
    <w:p w14:paraId="0B274AA0" w14:textId="77777777" w:rsidR="00B054F8" w:rsidRDefault="00B054F8">
      <w:pPr>
        <w:pStyle w:val="BodyText"/>
        <w:spacing w:before="1"/>
        <w:rPr>
          <w:rFonts w:ascii="Arial"/>
          <w:b/>
        </w:rPr>
      </w:pPr>
    </w:p>
    <w:p w14:paraId="7D6696B7" w14:textId="77777777" w:rsidR="00B054F8" w:rsidRDefault="00000000">
      <w:pPr>
        <w:pStyle w:val="ListParagraph"/>
        <w:numPr>
          <w:ilvl w:val="0"/>
          <w:numId w:val="1"/>
        </w:numPr>
        <w:tabs>
          <w:tab w:val="left" w:pos="321"/>
        </w:tabs>
        <w:spacing w:line="228" w:lineRule="auto"/>
      </w:pPr>
      <w:r>
        <w:rPr>
          <w:rFonts w:ascii="Arial" w:hAnsi="Arial"/>
          <w:b/>
        </w:rPr>
        <w:t xml:space="preserve">We are Wychavon Plan: Environment Promises - </w:t>
      </w:r>
      <w:r>
        <w:t>one of the promises is to restore and improve 28 hectares of land (owned by Wychavon) around Fish Hill, Broadway. I was excited to be part of a visit recently by the Climate and Nature Panel to the site guided by two of the Environmental Officers involved in the work, where we were shown progress so far and learned about the plans for the next 2 years for these priority habitats including semi-natural woodland and culturally significant landscape.</w:t>
      </w:r>
    </w:p>
    <w:p w14:paraId="63B0EC54" w14:textId="77777777" w:rsidR="00B054F8" w:rsidRDefault="00B054F8">
      <w:pPr>
        <w:pStyle w:val="BodyText"/>
        <w:spacing w:before="5"/>
      </w:pPr>
    </w:p>
    <w:p w14:paraId="15674A7B" w14:textId="77777777" w:rsidR="00B054F8" w:rsidRDefault="00000000">
      <w:pPr>
        <w:pStyle w:val="ListParagraph"/>
        <w:numPr>
          <w:ilvl w:val="0"/>
          <w:numId w:val="1"/>
        </w:numPr>
        <w:tabs>
          <w:tab w:val="left" w:pos="321"/>
        </w:tabs>
        <w:spacing w:line="228" w:lineRule="auto"/>
        <w:jc w:val="left"/>
      </w:pPr>
      <w:r>
        <w:rPr>
          <w:rFonts w:ascii="Arial" w:hAnsi="Arial"/>
          <w:b/>
        </w:rPr>
        <w:t xml:space="preserve">Renters Rights Act: </w:t>
      </w:r>
      <w:r>
        <w:t>the act came into force recently and makes significant changes to private</w:t>
      </w:r>
      <w:r>
        <w:rPr>
          <w:spacing w:val="40"/>
        </w:rPr>
        <w:t xml:space="preserve"> </w:t>
      </w:r>
      <w:r>
        <w:t>renting. In short :</w:t>
      </w:r>
    </w:p>
    <w:p w14:paraId="36A0FCBE" w14:textId="77777777" w:rsidR="00B054F8" w:rsidRDefault="00000000">
      <w:pPr>
        <w:pStyle w:val="BodyText"/>
        <w:spacing w:line="237" w:lineRule="exact"/>
        <w:ind w:left="386"/>
      </w:pPr>
      <w:r>
        <w:t>Section</w:t>
      </w:r>
      <w:r>
        <w:rPr>
          <w:spacing w:val="6"/>
        </w:rPr>
        <w:t xml:space="preserve"> </w:t>
      </w:r>
      <w:r>
        <w:t>21</w:t>
      </w:r>
      <w:r>
        <w:rPr>
          <w:spacing w:val="6"/>
        </w:rPr>
        <w:t xml:space="preserve"> </w:t>
      </w:r>
      <w:r>
        <w:t>‘no</w:t>
      </w:r>
      <w:r>
        <w:rPr>
          <w:spacing w:val="6"/>
        </w:rPr>
        <w:t xml:space="preserve"> </w:t>
      </w:r>
      <w:r>
        <w:t>fault’</w:t>
      </w:r>
      <w:r>
        <w:rPr>
          <w:spacing w:val="6"/>
        </w:rPr>
        <w:t xml:space="preserve"> </w:t>
      </w:r>
      <w:r>
        <w:t>evictions</w:t>
      </w:r>
      <w:r>
        <w:rPr>
          <w:spacing w:val="6"/>
        </w:rPr>
        <w:t xml:space="preserve"> </w:t>
      </w:r>
      <w:r>
        <w:t>have</w:t>
      </w:r>
      <w:r>
        <w:rPr>
          <w:spacing w:val="7"/>
        </w:rPr>
        <w:t xml:space="preserve"> </w:t>
      </w:r>
      <w:r>
        <w:rPr>
          <w:spacing w:val="-2"/>
        </w:rPr>
        <w:t>ended</w:t>
      </w:r>
    </w:p>
    <w:p w14:paraId="590CD75E" w14:textId="77777777" w:rsidR="00B054F8" w:rsidRDefault="00000000">
      <w:pPr>
        <w:pStyle w:val="BodyText"/>
        <w:spacing w:before="4" w:line="228" w:lineRule="auto"/>
        <w:ind w:left="386" w:right="3186"/>
      </w:pPr>
      <w:r>
        <w:t xml:space="preserve">All tenancies are now periodic and fixed terms are no longer </w:t>
      </w:r>
      <w:r>
        <w:rPr>
          <w:spacing w:val="-2"/>
        </w:rPr>
        <w:t>used.</w:t>
      </w:r>
    </w:p>
    <w:p w14:paraId="5CAF22E3" w14:textId="77777777" w:rsidR="00B054F8" w:rsidRDefault="00000000">
      <w:pPr>
        <w:pStyle w:val="BodyText"/>
        <w:spacing w:line="228" w:lineRule="auto"/>
        <w:ind w:left="386" w:right="3216"/>
      </w:pPr>
      <w:r>
        <w:t>Rent increases are limited to once per year with at least 2 month written notice.</w:t>
      </w:r>
    </w:p>
    <w:p w14:paraId="45DA5454" w14:textId="77777777" w:rsidR="00B054F8" w:rsidRDefault="00000000">
      <w:pPr>
        <w:pStyle w:val="BodyText"/>
        <w:spacing w:line="228" w:lineRule="auto"/>
        <w:ind w:left="386" w:right="3186"/>
      </w:pPr>
      <w:r>
        <w:t>Tenants</w:t>
      </w:r>
      <w:r>
        <w:rPr>
          <w:spacing w:val="-4"/>
        </w:rPr>
        <w:t xml:space="preserve"> </w:t>
      </w:r>
      <w:r>
        <w:t>can</w:t>
      </w:r>
      <w:r>
        <w:rPr>
          <w:spacing w:val="-4"/>
        </w:rPr>
        <w:t xml:space="preserve"> </w:t>
      </w:r>
      <w:r>
        <w:t>request</w:t>
      </w:r>
      <w:r>
        <w:rPr>
          <w:spacing w:val="-4"/>
        </w:rPr>
        <w:t xml:space="preserve"> </w:t>
      </w:r>
      <w:r>
        <w:t>pets</w:t>
      </w:r>
      <w:r>
        <w:rPr>
          <w:spacing w:val="-4"/>
        </w:rPr>
        <w:t xml:space="preserve"> </w:t>
      </w:r>
      <w:r>
        <w:t>and</w:t>
      </w:r>
      <w:r>
        <w:rPr>
          <w:spacing w:val="-4"/>
        </w:rPr>
        <w:t xml:space="preserve"> </w:t>
      </w:r>
      <w:r>
        <w:t>landlords</w:t>
      </w:r>
      <w:r>
        <w:rPr>
          <w:spacing w:val="-4"/>
        </w:rPr>
        <w:t xml:space="preserve"> </w:t>
      </w:r>
      <w:r>
        <w:t>must</w:t>
      </w:r>
      <w:r>
        <w:rPr>
          <w:spacing w:val="-4"/>
        </w:rPr>
        <w:t xml:space="preserve"> </w:t>
      </w:r>
      <w:r>
        <w:t>give</w:t>
      </w:r>
      <w:r>
        <w:rPr>
          <w:spacing w:val="-4"/>
        </w:rPr>
        <w:t xml:space="preserve"> </w:t>
      </w:r>
      <w:r>
        <w:t>a</w:t>
      </w:r>
      <w:r>
        <w:rPr>
          <w:spacing w:val="-4"/>
        </w:rPr>
        <w:t xml:space="preserve"> </w:t>
      </w:r>
      <w:r>
        <w:t xml:space="preserve">reasonable </w:t>
      </w:r>
      <w:r>
        <w:rPr>
          <w:spacing w:val="-2"/>
        </w:rPr>
        <w:t>explanation.</w:t>
      </w:r>
    </w:p>
    <w:p w14:paraId="63E1E9A3" w14:textId="77777777" w:rsidR="00B054F8" w:rsidRDefault="00B054F8">
      <w:pPr>
        <w:pStyle w:val="BodyText"/>
        <w:spacing w:before="215"/>
      </w:pPr>
    </w:p>
    <w:p w14:paraId="6CCD0B39" w14:textId="77777777" w:rsidR="00B054F8" w:rsidRDefault="00000000">
      <w:pPr>
        <w:pStyle w:val="BodyText"/>
        <w:ind w:left="141"/>
      </w:pPr>
      <w:r>
        <w:t>Cllr</w:t>
      </w:r>
      <w:r>
        <w:rPr>
          <w:spacing w:val="2"/>
        </w:rPr>
        <w:t xml:space="preserve"> </w:t>
      </w:r>
      <w:r>
        <w:t>Judith</w:t>
      </w:r>
      <w:r>
        <w:rPr>
          <w:spacing w:val="2"/>
        </w:rPr>
        <w:t xml:space="preserve"> </w:t>
      </w:r>
      <w:r>
        <w:t>Ciotti</w:t>
      </w:r>
      <w:r>
        <w:rPr>
          <w:spacing w:val="3"/>
        </w:rPr>
        <w:t xml:space="preserve"> </w:t>
      </w:r>
      <w:r>
        <w:t>Ward</w:t>
      </w:r>
      <w:r>
        <w:rPr>
          <w:spacing w:val="2"/>
        </w:rPr>
        <w:t xml:space="preserve"> </w:t>
      </w:r>
      <w:r>
        <w:t>member</w:t>
      </w:r>
      <w:r>
        <w:rPr>
          <w:spacing w:val="2"/>
        </w:rPr>
        <w:t xml:space="preserve"> </w:t>
      </w:r>
      <w:r>
        <w:t>Honeybourne,</w:t>
      </w:r>
      <w:r>
        <w:rPr>
          <w:spacing w:val="3"/>
        </w:rPr>
        <w:t xml:space="preserve"> </w:t>
      </w:r>
      <w:r>
        <w:t>Pebworth</w:t>
      </w:r>
      <w:r>
        <w:rPr>
          <w:spacing w:val="2"/>
        </w:rPr>
        <w:t xml:space="preserve"> </w:t>
      </w:r>
      <w:r>
        <w:t>&amp;</w:t>
      </w:r>
      <w:r>
        <w:rPr>
          <w:spacing w:val="2"/>
        </w:rPr>
        <w:t xml:space="preserve"> </w:t>
      </w:r>
      <w:r>
        <w:t>The</w:t>
      </w:r>
      <w:r>
        <w:rPr>
          <w:spacing w:val="3"/>
        </w:rPr>
        <w:t xml:space="preserve"> </w:t>
      </w:r>
      <w:r>
        <w:t>Littletons</w:t>
      </w:r>
      <w:r>
        <w:rPr>
          <w:spacing w:val="2"/>
        </w:rPr>
        <w:t xml:space="preserve"> </w:t>
      </w:r>
      <w:r>
        <w:t>(with</w:t>
      </w:r>
      <w:r>
        <w:rPr>
          <w:spacing w:val="2"/>
        </w:rPr>
        <w:t xml:space="preserve"> </w:t>
      </w:r>
      <w:r>
        <w:t>Cleeve</w:t>
      </w:r>
      <w:r>
        <w:rPr>
          <w:spacing w:val="3"/>
        </w:rPr>
        <w:t xml:space="preserve"> </w:t>
      </w:r>
      <w:r>
        <w:rPr>
          <w:spacing w:val="-2"/>
        </w:rPr>
        <w:t>Prior)</w:t>
      </w:r>
    </w:p>
    <w:sectPr w:rsidR="00B054F8">
      <w:type w:val="continuous"/>
      <w:pgSz w:w="11910" w:h="16840"/>
      <w:pgMar w:top="10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271A"/>
    <w:multiLevelType w:val="hybridMultilevel"/>
    <w:tmpl w:val="83CA3BB2"/>
    <w:lvl w:ilvl="0" w:tplc="749037A8">
      <w:numFmt w:val="bullet"/>
      <w:lvlText w:val="•"/>
      <w:lvlJc w:val="left"/>
      <w:pPr>
        <w:ind w:left="321" w:hanging="180"/>
      </w:pPr>
      <w:rPr>
        <w:rFonts w:ascii="Arial" w:eastAsia="Arial" w:hAnsi="Arial" w:cs="Arial" w:hint="default"/>
        <w:b/>
        <w:bCs/>
        <w:i w:val="0"/>
        <w:iCs w:val="0"/>
        <w:spacing w:val="0"/>
        <w:w w:val="99"/>
        <w:sz w:val="22"/>
        <w:szCs w:val="22"/>
        <w:lang w:val="en-US" w:eastAsia="en-US" w:bidi="ar-SA"/>
      </w:rPr>
    </w:lvl>
    <w:lvl w:ilvl="1" w:tplc="9836B3C2">
      <w:numFmt w:val="bullet"/>
      <w:lvlText w:val="•"/>
      <w:lvlJc w:val="left"/>
      <w:pPr>
        <w:ind w:left="1280" w:hanging="180"/>
      </w:pPr>
      <w:rPr>
        <w:rFonts w:hint="default"/>
        <w:lang w:val="en-US" w:eastAsia="en-US" w:bidi="ar-SA"/>
      </w:rPr>
    </w:lvl>
    <w:lvl w:ilvl="2" w:tplc="CE60F2EC">
      <w:numFmt w:val="bullet"/>
      <w:lvlText w:val="•"/>
      <w:lvlJc w:val="left"/>
      <w:pPr>
        <w:ind w:left="2240" w:hanging="180"/>
      </w:pPr>
      <w:rPr>
        <w:rFonts w:hint="default"/>
        <w:lang w:val="en-US" w:eastAsia="en-US" w:bidi="ar-SA"/>
      </w:rPr>
    </w:lvl>
    <w:lvl w:ilvl="3" w:tplc="F9C6C952">
      <w:numFmt w:val="bullet"/>
      <w:lvlText w:val="•"/>
      <w:lvlJc w:val="left"/>
      <w:pPr>
        <w:ind w:left="3200" w:hanging="180"/>
      </w:pPr>
      <w:rPr>
        <w:rFonts w:hint="default"/>
        <w:lang w:val="en-US" w:eastAsia="en-US" w:bidi="ar-SA"/>
      </w:rPr>
    </w:lvl>
    <w:lvl w:ilvl="4" w:tplc="F6407658">
      <w:numFmt w:val="bullet"/>
      <w:lvlText w:val="•"/>
      <w:lvlJc w:val="left"/>
      <w:pPr>
        <w:ind w:left="4160" w:hanging="180"/>
      </w:pPr>
      <w:rPr>
        <w:rFonts w:hint="default"/>
        <w:lang w:val="en-US" w:eastAsia="en-US" w:bidi="ar-SA"/>
      </w:rPr>
    </w:lvl>
    <w:lvl w:ilvl="5" w:tplc="7C5C6336">
      <w:numFmt w:val="bullet"/>
      <w:lvlText w:val="•"/>
      <w:lvlJc w:val="left"/>
      <w:pPr>
        <w:ind w:left="5120" w:hanging="180"/>
      </w:pPr>
      <w:rPr>
        <w:rFonts w:hint="default"/>
        <w:lang w:val="en-US" w:eastAsia="en-US" w:bidi="ar-SA"/>
      </w:rPr>
    </w:lvl>
    <w:lvl w:ilvl="6" w:tplc="ABD20E60">
      <w:numFmt w:val="bullet"/>
      <w:lvlText w:val="•"/>
      <w:lvlJc w:val="left"/>
      <w:pPr>
        <w:ind w:left="6080" w:hanging="180"/>
      </w:pPr>
      <w:rPr>
        <w:rFonts w:hint="default"/>
        <w:lang w:val="en-US" w:eastAsia="en-US" w:bidi="ar-SA"/>
      </w:rPr>
    </w:lvl>
    <w:lvl w:ilvl="7" w:tplc="D0CA5062">
      <w:numFmt w:val="bullet"/>
      <w:lvlText w:val="•"/>
      <w:lvlJc w:val="left"/>
      <w:pPr>
        <w:ind w:left="7041" w:hanging="180"/>
      </w:pPr>
      <w:rPr>
        <w:rFonts w:hint="default"/>
        <w:lang w:val="en-US" w:eastAsia="en-US" w:bidi="ar-SA"/>
      </w:rPr>
    </w:lvl>
    <w:lvl w:ilvl="8" w:tplc="3EFA8274">
      <w:numFmt w:val="bullet"/>
      <w:lvlText w:val="•"/>
      <w:lvlJc w:val="left"/>
      <w:pPr>
        <w:ind w:left="8001" w:hanging="180"/>
      </w:pPr>
      <w:rPr>
        <w:rFonts w:hint="default"/>
        <w:lang w:val="en-US" w:eastAsia="en-US" w:bidi="ar-SA"/>
      </w:rPr>
    </w:lvl>
  </w:abstractNum>
  <w:num w:numId="1" w16cid:durableId="182827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F8"/>
    <w:rsid w:val="00B054F8"/>
    <w:rsid w:val="00D717A7"/>
    <w:rsid w:val="00EE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7569"/>
  <w15:docId w15:val="{FD10CD86-3643-45B9-A4FE-BE37C83C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5"/>
      <w:ind w:left="141"/>
    </w:pPr>
    <w:rPr>
      <w:rFonts w:ascii="Arial" w:eastAsia="Arial" w:hAnsi="Arial" w:cs="Arial"/>
      <w:b/>
      <w:bCs/>
    </w:rPr>
  </w:style>
  <w:style w:type="paragraph" w:styleId="ListParagraph">
    <w:name w:val="List Paragraph"/>
    <w:basedOn w:val="Normal"/>
    <w:uiPriority w:val="1"/>
    <w:qFormat/>
    <w:pPr>
      <w:ind w:left="321" w:right="139" w:hanging="1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storiceng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wth@wychavon.gov.uk" TargetMode="External"/><Relationship Id="rId5" Type="http://schemas.openxmlformats.org/officeDocument/2006/relationships/hyperlink" Target="http://www.wychavon.gov.uk/grow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Report to Parish Councils</dc:title>
  <dc:creator>Sean Arble</dc:creator>
  <cp:lastModifiedBy>Sean Arble</cp:lastModifiedBy>
  <cp:revision>2</cp:revision>
  <dcterms:created xsi:type="dcterms:W3CDTF">2026-06-10T14:57:00Z</dcterms:created>
  <dcterms:modified xsi:type="dcterms:W3CDTF">2026-06-10T14:57:00Z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2026-05-31T00:00:00Z</vt:filetime>
  </property>
  <property fmtid="{D5CDD505-2E9C-101B-9397-08002B2CF9AE}" pid="3" name="Creator">
    <vt:lpwstr>Pages</vt:lpwstr>
  </property>
  <property fmtid="{D5CDD505-2E9C-101B-9397-08002B2CF9AE}" pid="4" name="LastSaved">
    <vt:filetime>2026-06-10T00:00:00Z</vt:filetime>
  </property>
  <property fmtid="{D5CDD505-2E9C-101B-9397-08002B2CF9AE}" pid="5" name="Producer">
    <vt:lpwstr>iOS Version 26.3.1 (a) (Build 23D771330a) Quartz PDFContext</vt:lpwstr>
  </property>
</Properties>
</file>